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148A" w14:textId="1B731E25" w:rsidR="00B33C38" w:rsidRPr="001844AE" w:rsidRDefault="00B33C38" w:rsidP="00B33C38">
      <w:pPr>
        <w:widowControl w:val="0"/>
        <w:tabs>
          <w:tab w:val="right" w:pos="8280"/>
          <w:tab w:val="right" w:pos="9639"/>
        </w:tabs>
        <w:rPr>
          <w:rFonts w:ascii="Arial" w:eastAsia="SimSun" w:hAnsi="Arial" w:cs="Arial"/>
          <w:b/>
          <w:sz w:val="24"/>
          <w:lang w:val="en-US"/>
        </w:rPr>
      </w:pPr>
      <w:r w:rsidRPr="001844AE">
        <w:rPr>
          <w:rFonts w:ascii="Arial" w:eastAsia="SimSun" w:hAnsi="Arial" w:cs="Arial"/>
          <w:b/>
          <w:noProof/>
          <w:sz w:val="24"/>
          <w:lang w:val="en-US"/>
        </w:rPr>
        <w:t>3GPP TSG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RAN WG</w:t>
      </w:r>
      <w:r w:rsidR="00285EF3">
        <w:rPr>
          <w:rFonts w:ascii="Arial" w:eastAsia="SimSun" w:hAnsi="Arial" w:cs="Arial"/>
          <w:b/>
          <w:noProof/>
          <w:sz w:val="24"/>
          <w:lang w:val="en-US"/>
        </w:rPr>
        <w:t>4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 xml:space="preserve"> Meeting #1</w:t>
      </w:r>
      <w:r w:rsidR="0060738A">
        <w:rPr>
          <w:rFonts w:ascii="Arial" w:eastAsia="SimSun" w:hAnsi="Arial" w:cs="Arial"/>
          <w:b/>
          <w:noProof/>
          <w:sz w:val="24"/>
          <w:lang w:val="en-US"/>
        </w:rPr>
        <w:t>14-bis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                                               </w:t>
      </w:r>
      <w:r w:rsidRPr="001844AE">
        <w:rPr>
          <w:rFonts w:ascii="Arial" w:eastAsia="SimSun" w:hAnsi="Arial" w:cs="Arial"/>
          <w:b/>
          <w:sz w:val="24"/>
          <w:lang w:val="en-US"/>
        </w:rPr>
        <w:tab/>
      </w:r>
      <w:r>
        <w:rPr>
          <w:rFonts w:ascii="Arial" w:eastAsia="SimSun" w:hAnsi="Arial" w:cs="Arial"/>
          <w:b/>
          <w:sz w:val="24"/>
          <w:lang w:val="en-US"/>
        </w:rPr>
        <w:t xml:space="preserve">      </w:t>
      </w:r>
      <w:r w:rsidR="00F15124" w:rsidRPr="00F15124">
        <w:rPr>
          <w:rFonts w:ascii="Arial" w:eastAsia="SimSun" w:hAnsi="Arial" w:cs="Arial"/>
          <w:b/>
          <w:sz w:val="24"/>
          <w:lang w:val="en-US"/>
        </w:rPr>
        <w:t>R</w:t>
      </w:r>
      <w:r w:rsidR="00AD32C2">
        <w:rPr>
          <w:rFonts w:ascii="Arial" w:eastAsia="SimSun" w:hAnsi="Arial" w:cs="Arial"/>
          <w:b/>
          <w:sz w:val="24"/>
          <w:lang w:val="en-US"/>
        </w:rPr>
        <w:t>4</w:t>
      </w:r>
      <w:r w:rsidR="00F15124" w:rsidRPr="00F15124">
        <w:rPr>
          <w:rFonts w:ascii="Arial" w:eastAsia="SimSun" w:hAnsi="Arial" w:cs="Arial"/>
          <w:b/>
          <w:sz w:val="24"/>
          <w:lang w:val="en-US"/>
        </w:rPr>
        <w:t>-</w:t>
      </w:r>
      <w:r w:rsidR="00285EF3">
        <w:rPr>
          <w:rFonts w:ascii="Arial" w:eastAsia="SimSun" w:hAnsi="Arial" w:cs="Arial"/>
          <w:b/>
          <w:sz w:val="24"/>
          <w:lang w:val="en-US"/>
        </w:rPr>
        <w:t>25</w:t>
      </w:r>
      <w:r w:rsidR="009847F2">
        <w:rPr>
          <w:rFonts w:ascii="Arial" w:eastAsia="SimSun" w:hAnsi="Arial" w:cs="Arial"/>
          <w:b/>
          <w:sz w:val="24"/>
          <w:lang w:val="en-US"/>
        </w:rPr>
        <w:t>03235</w:t>
      </w:r>
    </w:p>
    <w:p w14:paraId="798DBA36" w14:textId="69AD39AB" w:rsidR="00B33C38" w:rsidRPr="001844AE" w:rsidRDefault="0060738A" w:rsidP="00B33C38">
      <w:pPr>
        <w:tabs>
          <w:tab w:val="left" w:pos="1985"/>
        </w:tabs>
        <w:ind w:left="1983" w:hangingChars="823" w:hanging="1983"/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eastAsia="SimSun" w:hAnsi="Arial"/>
          <w:b/>
          <w:sz w:val="24"/>
          <w:lang w:eastAsia="zh-CN"/>
        </w:rPr>
        <w:t>Wuhan</w:t>
      </w:r>
      <w:r w:rsidR="00CE0D1E">
        <w:rPr>
          <w:rFonts w:ascii="Arial" w:eastAsia="SimSun" w:hAnsi="Arial"/>
          <w:b/>
          <w:sz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lang w:eastAsia="zh-CN"/>
        </w:rPr>
        <w:t>China</w:t>
      </w:r>
      <w:r w:rsidR="00311700">
        <w:rPr>
          <w:rFonts w:ascii="Arial" w:eastAsia="SimSun" w:hAnsi="Arial"/>
          <w:b/>
          <w:sz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lang w:eastAsia="zh-CN"/>
        </w:rPr>
        <w:t>April</w:t>
      </w:r>
      <w:r w:rsidR="00CE0D1E">
        <w:rPr>
          <w:rFonts w:ascii="Arial" w:eastAsia="SimSun" w:hAnsi="Arial"/>
          <w:b/>
          <w:sz w:val="24"/>
          <w:lang w:eastAsia="zh-CN"/>
        </w:rPr>
        <w:t xml:space="preserve"> </w:t>
      </w:r>
      <w:r w:rsidR="002D4080">
        <w:rPr>
          <w:rFonts w:ascii="Arial" w:eastAsia="SimSun" w:hAnsi="Arial"/>
          <w:b/>
          <w:sz w:val="24"/>
          <w:lang w:eastAsia="zh-CN"/>
        </w:rPr>
        <w:t>7</w:t>
      </w:r>
      <w:r w:rsidR="0069269B">
        <w:rPr>
          <w:rFonts w:ascii="Arial" w:eastAsia="SimSun" w:hAnsi="Arial"/>
          <w:b/>
          <w:sz w:val="24"/>
          <w:lang w:eastAsia="zh-CN"/>
        </w:rPr>
        <w:t xml:space="preserve"> </w:t>
      </w:r>
      <w:r w:rsidR="00B33C38" w:rsidRPr="005F07E2">
        <w:rPr>
          <w:rFonts w:ascii="Arial" w:eastAsia="SimSun" w:hAnsi="Arial"/>
          <w:b/>
          <w:sz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lang w:eastAsia="zh-CN"/>
        </w:rPr>
        <w:t>1</w:t>
      </w:r>
      <w:r w:rsidR="002D4080">
        <w:rPr>
          <w:rFonts w:ascii="Arial" w:eastAsia="SimSun" w:hAnsi="Arial"/>
          <w:b/>
          <w:sz w:val="24"/>
          <w:lang w:eastAsia="zh-CN"/>
        </w:rPr>
        <w:t>1</w:t>
      </w:r>
      <w:r w:rsidR="00B33C38" w:rsidRPr="001844AE">
        <w:rPr>
          <w:rFonts w:ascii="Arial" w:eastAsia="SimSun" w:hAnsi="Arial"/>
          <w:b/>
          <w:sz w:val="24"/>
          <w:lang w:eastAsia="zh-CN"/>
        </w:rPr>
        <w:t>, 202</w:t>
      </w:r>
      <w:r w:rsidR="002D4080">
        <w:rPr>
          <w:rFonts w:ascii="Arial" w:eastAsia="SimSun" w:hAnsi="Arial"/>
          <w:b/>
          <w:sz w:val="24"/>
          <w:lang w:eastAsia="zh-CN"/>
        </w:rPr>
        <w:t>5</w:t>
      </w:r>
    </w:p>
    <w:p w14:paraId="4D2D9FC7" w14:textId="15B1E227" w:rsidR="00B33C38" w:rsidRPr="00663CED" w:rsidRDefault="00B33C38" w:rsidP="00B33C38">
      <w:pPr>
        <w:tabs>
          <w:tab w:val="left" w:pos="1985"/>
        </w:tabs>
        <w:ind w:left="1975" w:hangingChars="823" w:hanging="1975"/>
        <w:jc w:val="both"/>
        <w:rPr>
          <w:rFonts w:ascii="Times New Roman" w:hAnsi="Times New Roman"/>
          <w:sz w:val="24"/>
          <w:highlight w:val="yellow"/>
        </w:rPr>
      </w:pPr>
    </w:p>
    <w:p w14:paraId="241F2984" w14:textId="77777777" w:rsidR="00286D17" w:rsidRDefault="00286D17" w:rsidP="00286D17">
      <w:pPr>
        <w:tabs>
          <w:tab w:val="left" w:pos="1985"/>
        </w:tabs>
        <w:ind w:left="1985" w:hanging="1985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Title:</w:t>
      </w:r>
      <w:r w:rsidRPr="00663CED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Fair coexistence between SBFD and TDD networks</w:t>
      </w:r>
    </w:p>
    <w:p w14:paraId="6A57805D" w14:textId="5BFC9A30" w:rsidR="00B33C38" w:rsidRPr="00663CED" w:rsidRDefault="00B33C38" w:rsidP="00B33C38">
      <w:pPr>
        <w:tabs>
          <w:tab w:val="left" w:pos="1985"/>
        </w:tabs>
        <w:ind w:left="1939" w:hangingChars="823" w:hanging="1939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Agenda item:</w:t>
      </w:r>
      <w:r w:rsidRPr="00663CED">
        <w:rPr>
          <w:rFonts w:ascii="Times New Roman" w:hAnsi="Times New Roman"/>
          <w:b/>
          <w:sz w:val="24"/>
        </w:rPr>
        <w:tab/>
      </w:r>
      <w:r w:rsidR="00C70ACA">
        <w:rPr>
          <w:rFonts w:ascii="Times New Roman" w:hAnsi="Times New Roman"/>
          <w:b/>
          <w:sz w:val="24"/>
        </w:rPr>
        <w:t xml:space="preserve"> </w:t>
      </w:r>
      <w:r w:rsidR="00C62387">
        <w:rPr>
          <w:rFonts w:ascii="Times New Roman" w:hAnsi="Times New Roman"/>
          <w:b/>
          <w:sz w:val="24"/>
        </w:rPr>
        <w:t>7.23.1</w:t>
      </w:r>
      <w:r w:rsidR="00286D17" w:rsidRPr="00286D17">
        <w:t xml:space="preserve"> </w:t>
      </w:r>
      <w:r w:rsidR="00286D17" w:rsidRPr="00286D17">
        <w:rPr>
          <w:rFonts w:ascii="Times New Roman" w:hAnsi="Times New Roman"/>
          <w:b/>
          <w:sz w:val="24"/>
        </w:rPr>
        <w:t xml:space="preserve">- </w:t>
      </w:r>
      <w:r w:rsidR="00C70ACA" w:rsidRPr="00C70ACA">
        <w:rPr>
          <w:rFonts w:ascii="Times New Roman" w:hAnsi="Times New Roman"/>
          <w:b/>
          <w:sz w:val="24"/>
        </w:rPr>
        <w:t>General RAN4 aspects for SBFD system parameters</w:t>
      </w:r>
    </w:p>
    <w:p w14:paraId="39E45F47" w14:textId="5B479B15" w:rsidR="00B33C38" w:rsidRPr="00663CED" w:rsidRDefault="00B33C38" w:rsidP="00B33C38">
      <w:pPr>
        <w:tabs>
          <w:tab w:val="left" w:pos="1985"/>
        </w:tabs>
        <w:ind w:left="1985" w:hanging="1985"/>
        <w:jc w:val="both"/>
        <w:rPr>
          <w:rFonts w:ascii="Times New Roman" w:hAnsi="Times New Roman"/>
          <w:sz w:val="24"/>
        </w:rPr>
      </w:pPr>
      <w:r w:rsidRPr="00663CED">
        <w:rPr>
          <w:rFonts w:ascii="Times New Roman" w:hAnsi="Times New Roman"/>
          <w:b/>
          <w:sz w:val="24"/>
        </w:rPr>
        <w:t>Source:</w:t>
      </w:r>
      <w:r w:rsidRPr="00663CED">
        <w:rPr>
          <w:rFonts w:ascii="Times New Roman" w:hAnsi="Times New Roman"/>
          <w:b/>
          <w:sz w:val="24"/>
        </w:rPr>
        <w:tab/>
        <w:t>Charter Communications</w:t>
      </w:r>
    </w:p>
    <w:p w14:paraId="604B05E6" w14:textId="2F824E99" w:rsidR="00B33C38" w:rsidRPr="00663CED" w:rsidRDefault="00B33C38" w:rsidP="00B33C38">
      <w:pPr>
        <w:tabs>
          <w:tab w:val="left" w:pos="1985"/>
        </w:tabs>
        <w:ind w:left="1939" w:hangingChars="823" w:hanging="1939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Document for:</w:t>
      </w:r>
      <w:r w:rsidRPr="00663CED">
        <w:rPr>
          <w:rFonts w:ascii="Times New Roman" w:hAnsi="Times New Roman"/>
          <w:b/>
          <w:sz w:val="24"/>
        </w:rPr>
        <w:tab/>
      </w:r>
      <w:r w:rsidR="00C70ACA">
        <w:rPr>
          <w:rFonts w:ascii="Times New Roman" w:hAnsi="Times New Roman"/>
          <w:b/>
          <w:sz w:val="24"/>
        </w:rPr>
        <w:t xml:space="preserve"> </w:t>
      </w:r>
      <w:r w:rsidRPr="00663CED">
        <w:rPr>
          <w:rFonts w:ascii="Times New Roman" w:hAnsi="Times New Roman"/>
          <w:b/>
          <w:sz w:val="24"/>
        </w:rPr>
        <w:t>Discussion</w:t>
      </w:r>
      <w:r w:rsidR="0069269B">
        <w:rPr>
          <w:rFonts w:ascii="Times New Roman" w:hAnsi="Times New Roman"/>
          <w:b/>
          <w:sz w:val="24"/>
        </w:rPr>
        <w:t>/</w:t>
      </w:r>
      <w:r w:rsidR="009847F2">
        <w:rPr>
          <w:rFonts w:ascii="Times New Roman" w:hAnsi="Times New Roman"/>
          <w:b/>
          <w:sz w:val="24"/>
        </w:rPr>
        <w:t>Agreement</w:t>
      </w:r>
    </w:p>
    <w:p w14:paraId="392E3653" w14:textId="58EA9719" w:rsidR="00B33C38" w:rsidRDefault="00B33C38" w:rsidP="00B33C38">
      <w:pPr>
        <w:rPr>
          <w:b/>
          <w:bCs/>
          <w:noProof/>
          <w:lang w:val="en-US"/>
        </w:rPr>
      </w:pPr>
    </w:p>
    <w:p w14:paraId="51F00CA2" w14:textId="5D9CA727" w:rsidR="003817E2" w:rsidRPr="001F0E36" w:rsidRDefault="00B33C38" w:rsidP="001F0E36">
      <w:pPr>
        <w:pStyle w:val="Heading1"/>
        <w:ind w:left="360"/>
        <w:rPr>
          <w:rFonts w:ascii="Times New Roman" w:hAnsi="Times New Roman" w:cs="Times New Roman"/>
        </w:rPr>
      </w:pPr>
      <w:r w:rsidRPr="00663CED">
        <w:rPr>
          <w:rFonts w:ascii="Times New Roman" w:hAnsi="Times New Roman" w:cs="Times New Roman"/>
        </w:rPr>
        <w:t>Introduction</w:t>
      </w:r>
    </w:p>
    <w:p w14:paraId="7BA57062" w14:textId="0FC76362" w:rsidR="003817E2" w:rsidRDefault="003817E2">
      <w:pPr>
        <w:rPr>
          <w:lang w:val="en-US" w:eastAsia="zh-CN"/>
        </w:rPr>
      </w:pPr>
      <w:r w:rsidRPr="008057F0">
        <w:rPr>
          <w:lang w:val="en-US" w:eastAsia="zh-CN"/>
        </w:rPr>
        <w:t xml:space="preserve">In Rel 18 </w:t>
      </w:r>
      <w:r>
        <w:rPr>
          <w:lang w:val="en-US" w:eastAsia="zh-CN"/>
        </w:rPr>
        <w:t xml:space="preserve">study, SBFD performance was </w:t>
      </w:r>
      <w:r w:rsidR="00C3163C">
        <w:rPr>
          <w:lang w:val="en-US" w:eastAsia="zh-CN"/>
        </w:rPr>
        <w:t>evaluated,</w:t>
      </w:r>
      <w:r>
        <w:rPr>
          <w:lang w:val="en-US" w:eastAsia="zh-CN"/>
        </w:rPr>
        <w:t xml:space="preserve"> and it was concluded in TR 38.858 [1] that SBFD provides benefits of reduced latency and increased UL throughput over legacy TDD. It was concluded in the study phase that SBFD may </w:t>
      </w:r>
      <w:r w:rsidR="00F50C33">
        <w:rPr>
          <w:lang w:val="en-US" w:eastAsia="zh-CN"/>
        </w:rPr>
        <w:t>cause</w:t>
      </w:r>
      <w:r>
        <w:rPr>
          <w:lang w:val="en-US" w:eastAsia="zh-CN"/>
        </w:rPr>
        <w:t xml:space="preserve"> UE-to-UE interference to the UEs of a legacy TDD network operating in the adjacent </w:t>
      </w:r>
      <w:r w:rsidR="00F50C33">
        <w:rPr>
          <w:lang w:val="en-US" w:eastAsia="zh-CN"/>
        </w:rPr>
        <w:t>channel</w:t>
      </w:r>
      <w:r>
        <w:rPr>
          <w:lang w:val="en-US" w:eastAsia="zh-CN"/>
        </w:rPr>
        <w:t>.</w:t>
      </w:r>
      <w:r w:rsidR="001F0E36">
        <w:rPr>
          <w:lang w:val="en-US" w:eastAsia="zh-CN"/>
        </w:rPr>
        <w:t xml:space="preserve"> </w:t>
      </w:r>
      <w:r>
        <w:rPr>
          <w:lang w:val="en-US" w:eastAsia="zh-CN"/>
        </w:rPr>
        <w:t>Rel. 19 normative phase started with the</w:t>
      </w:r>
      <w:r w:rsidR="001F0E36">
        <w:rPr>
          <w:lang w:val="en-US" w:eastAsia="zh-CN"/>
        </w:rPr>
        <w:t xml:space="preserve"> </w:t>
      </w:r>
      <w:r>
        <w:rPr>
          <w:lang w:val="en-US" w:eastAsia="zh-CN"/>
        </w:rPr>
        <w:t xml:space="preserve">specific objective </w:t>
      </w:r>
      <w:r w:rsidR="001F0E36">
        <w:rPr>
          <w:lang w:val="en-US" w:eastAsia="zh-CN"/>
        </w:rPr>
        <w:t xml:space="preserve">in the WID [2] for </w:t>
      </w:r>
      <w:r>
        <w:rPr>
          <w:lang w:val="en-US" w:eastAsia="zh-CN"/>
        </w:rPr>
        <w:t xml:space="preserve">adjacent channel </w:t>
      </w:r>
      <w:r w:rsidR="001F0E36">
        <w:rPr>
          <w:lang w:val="en-US" w:eastAsia="zh-CN"/>
        </w:rPr>
        <w:t>coexistence between the two operators.</w:t>
      </w:r>
    </w:p>
    <w:p w14:paraId="05C02C81" w14:textId="2954287E" w:rsidR="001F0E36" w:rsidRDefault="001F0E36">
      <w:pPr>
        <w:rPr>
          <w:lang w:val="en-US" w:eastAsia="zh-CN"/>
        </w:rPr>
      </w:pPr>
    </w:p>
    <w:p w14:paraId="6BDF56D0" w14:textId="3E3A96E3" w:rsidR="001F0E36" w:rsidRDefault="001F0E36" w:rsidP="00F50C33">
      <w:pPr>
        <w:rPr>
          <w:noProof/>
          <w:lang w:val="en-US" w:eastAsia="zh-CN"/>
        </w:rPr>
      </w:pPr>
      <w:r>
        <w:rPr>
          <w:lang w:val="en-US" w:eastAsia="zh-CN"/>
        </w:rPr>
        <w:t>In th</w:t>
      </w:r>
      <w:r w:rsidR="00F50C33">
        <w:rPr>
          <w:lang w:val="en-US" w:eastAsia="zh-CN"/>
        </w:rPr>
        <w:t xml:space="preserve">e last meeting in Athens, we </w:t>
      </w:r>
      <w:r>
        <w:rPr>
          <w:lang w:val="en-US" w:eastAsia="zh-CN"/>
        </w:rPr>
        <w:t>present</w:t>
      </w:r>
      <w:r w:rsidR="00F50C33">
        <w:rPr>
          <w:lang w:val="en-US" w:eastAsia="zh-CN"/>
        </w:rPr>
        <w:t>ed</w:t>
      </w:r>
      <w:r>
        <w:rPr>
          <w:lang w:val="en-US" w:eastAsia="zh-CN"/>
        </w:rPr>
        <w:t xml:space="preserve"> </w:t>
      </w:r>
      <w:r w:rsidR="00F50C33">
        <w:rPr>
          <w:lang w:val="en-US" w:eastAsia="zh-CN"/>
        </w:rPr>
        <w:t xml:space="preserve">[6] </w:t>
      </w:r>
      <w:r>
        <w:rPr>
          <w:lang w:val="en-US" w:eastAsia="zh-CN"/>
        </w:rPr>
        <w:t>how</w:t>
      </w:r>
      <w:r w:rsidR="00F50C33">
        <w:rPr>
          <w:lang w:val="en-US" w:eastAsia="zh-CN"/>
        </w:rPr>
        <w:t xml:space="preserve"> a single operator owning both networks</w:t>
      </w:r>
      <w:r>
        <w:rPr>
          <w:lang w:val="en-US" w:eastAsia="zh-CN"/>
        </w:rPr>
        <w:t xml:space="preserve"> </w:t>
      </w:r>
      <w:r w:rsidR="00F50C33">
        <w:rPr>
          <w:lang w:val="en-US" w:eastAsia="zh-CN"/>
        </w:rPr>
        <w:t>could</w:t>
      </w:r>
      <w:r>
        <w:rPr>
          <w:lang w:val="en-US" w:eastAsia="zh-CN"/>
        </w:rPr>
        <w:t xml:space="preserve"> mitigate</w:t>
      </w:r>
      <w:bookmarkStart w:id="0" w:name="_Hlk189746731"/>
      <w:r>
        <w:rPr>
          <w:lang w:val="en-US" w:eastAsia="zh-CN"/>
        </w:rPr>
        <w:t xml:space="preserve"> </w:t>
      </w:r>
      <w:r w:rsidR="00F50C33">
        <w:rPr>
          <w:lang w:val="en-US" w:eastAsia="zh-CN"/>
        </w:rPr>
        <w:t xml:space="preserve">this </w:t>
      </w:r>
      <w:r>
        <w:rPr>
          <w:lang w:val="en-US" w:eastAsia="zh-CN"/>
        </w:rPr>
        <w:t>UE-to-UE CLI</w:t>
      </w:r>
      <w:bookmarkEnd w:id="0"/>
      <w:r w:rsidR="00F50C33">
        <w:rPr>
          <w:lang w:val="en-US" w:eastAsia="zh-CN"/>
        </w:rPr>
        <w:t xml:space="preserve">, by reducing the </w:t>
      </w:r>
      <w:r w:rsidR="00F50C33" w:rsidRPr="004B790E">
        <w:rPr>
          <w:lang w:val="en-US" w:eastAsia="zh-CN"/>
        </w:rPr>
        <w:t>P</w:t>
      </w:r>
      <w:r w:rsidR="00F50C33">
        <w:rPr>
          <w:vertAlign w:val="subscript"/>
          <w:lang w:val="en-US" w:eastAsia="zh-CN"/>
        </w:rPr>
        <w:t>CM</w:t>
      </w:r>
      <w:r w:rsidR="00F50C33" w:rsidRPr="004C662A">
        <w:rPr>
          <w:vertAlign w:val="subscript"/>
          <w:lang w:val="en-US" w:eastAsia="zh-CN"/>
        </w:rPr>
        <w:t>AX</w:t>
      </w:r>
      <w:r w:rsidR="00F50C33">
        <w:rPr>
          <w:lang w:val="en-US" w:eastAsia="zh-CN"/>
        </w:rPr>
        <w:t xml:space="preserve"> of the SBFD UE by </w:t>
      </w:r>
      <w:r w:rsidR="00F50C33" w:rsidRPr="004B790E">
        <w:rPr>
          <w:noProof/>
          <w:lang w:val="en-US" w:eastAsia="zh-CN"/>
        </w:rPr>
        <w:t>X</w:t>
      </w:r>
      <w:r w:rsidR="00F50C33" w:rsidRPr="006F058B">
        <w:rPr>
          <w:noProof/>
          <w:vertAlign w:val="subscript"/>
          <w:lang w:val="en-US" w:eastAsia="zh-CN"/>
        </w:rPr>
        <w:t>dB</w:t>
      </w:r>
      <w:r w:rsidR="00F50C33">
        <w:rPr>
          <w:noProof/>
          <w:lang w:val="en-US" w:eastAsia="zh-CN"/>
        </w:rPr>
        <w:t>. The</w:t>
      </w:r>
      <w:r w:rsidR="00173BC4">
        <w:rPr>
          <w:noProof/>
          <w:lang w:val="en-US" w:eastAsia="zh-CN"/>
        </w:rPr>
        <w:t xml:space="preserve"> RAN4</w:t>
      </w:r>
      <w:r w:rsidR="00F50C33">
        <w:rPr>
          <w:noProof/>
          <w:lang w:val="en-US" w:eastAsia="zh-CN"/>
        </w:rPr>
        <w:t xml:space="preserve"> </w:t>
      </w:r>
      <w:r w:rsidR="00173BC4">
        <w:rPr>
          <w:noProof/>
          <w:lang w:val="en-US" w:eastAsia="zh-CN"/>
        </w:rPr>
        <w:t xml:space="preserve">vice chair </w:t>
      </w:r>
      <w:r w:rsidR="007E5ED0">
        <w:rPr>
          <w:noProof/>
          <w:lang w:val="en-US" w:eastAsia="zh-CN"/>
        </w:rPr>
        <w:t xml:space="preserve">decision was to wait until </w:t>
      </w:r>
      <w:r w:rsidR="00173BC4">
        <w:rPr>
          <w:noProof/>
          <w:lang w:val="en-US" w:eastAsia="zh-CN"/>
        </w:rPr>
        <w:t xml:space="preserve">after </w:t>
      </w:r>
      <w:r w:rsidR="007E5ED0">
        <w:rPr>
          <w:noProof/>
          <w:lang w:val="en-US" w:eastAsia="zh-CN"/>
        </w:rPr>
        <w:t>RAN1 approve</w:t>
      </w:r>
      <w:r w:rsidR="00173BC4">
        <w:rPr>
          <w:noProof/>
          <w:lang w:val="en-US" w:eastAsia="zh-CN"/>
        </w:rPr>
        <w:t>s</w:t>
      </w:r>
      <w:r w:rsidR="007E5ED0">
        <w:rPr>
          <w:noProof/>
          <w:lang w:val="en-US" w:eastAsia="zh-CN"/>
        </w:rPr>
        <w:t xml:space="preserve"> this solution.</w:t>
      </w:r>
    </w:p>
    <w:p w14:paraId="4D6CDA6F" w14:textId="77777777" w:rsidR="007E5ED0" w:rsidRDefault="007E5ED0" w:rsidP="00F50C33">
      <w:pPr>
        <w:rPr>
          <w:noProof/>
          <w:lang w:val="en-US" w:eastAsia="zh-CN"/>
        </w:rPr>
      </w:pPr>
    </w:p>
    <w:p w14:paraId="253534EE" w14:textId="5B88AA3D" w:rsidR="007E5ED0" w:rsidRDefault="00173BC4" w:rsidP="00F50C33">
      <w:pPr>
        <w:rPr>
          <w:noProof/>
          <w:lang w:val="en-US" w:eastAsia="zh-CN"/>
        </w:rPr>
      </w:pPr>
      <w:r w:rsidRPr="00173BC4">
        <w:rPr>
          <w:b/>
          <w:bCs/>
          <w:noProof/>
          <w:lang w:val="en-US" w:eastAsia="zh-CN"/>
        </w:rPr>
        <w:t>RAN1 decision</w:t>
      </w:r>
      <w:r>
        <w:rPr>
          <w:noProof/>
          <w:lang w:val="en-US" w:eastAsia="zh-CN"/>
        </w:rPr>
        <w:t xml:space="preserve">: </w:t>
      </w:r>
      <w:r w:rsidR="007E5ED0">
        <w:rPr>
          <w:noProof/>
          <w:lang w:val="en-US" w:eastAsia="zh-CN"/>
        </w:rPr>
        <w:t>Our RAN1 team in Charter is presenting this week the TDOC [6] for agrrement in RAN1.</w:t>
      </w:r>
    </w:p>
    <w:p w14:paraId="1CB83D53" w14:textId="77777777" w:rsidR="007E5ED0" w:rsidRDefault="007E5ED0" w:rsidP="00F50C33">
      <w:pPr>
        <w:rPr>
          <w:noProof/>
          <w:lang w:val="en-US" w:eastAsia="zh-CN"/>
        </w:rPr>
      </w:pPr>
    </w:p>
    <w:p w14:paraId="433ACD62" w14:textId="737382E2" w:rsidR="007E5ED0" w:rsidRDefault="007E5ED0" w:rsidP="00F50C33">
      <w:pPr>
        <w:rPr>
          <w:lang w:val="en-US" w:eastAsia="zh-CN"/>
        </w:rPr>
      </w:pPr>
      <w:r>
        <w:rPr>
          <w:noProof/>
          <w:lang w:val="en-US" w:eastAsia="zh-CN"/>
        </w:rPr>
        <w:t xml:space="preserve">In this meeting, we present more </w:t>
      </w:r>
      <w:r w:rsidR="00173BC4">
        <w:rPr>
          <w:noProof/>
          <w:lang w:val="en-US" w:eastAsia="zh-CN"/>
        </w:rPr>
        <w:t>ideas</w:t>
      </w:r>
      <w:r w:rsidR="009847F2">
        <w:rPr>
          <w:noProof/>
          <w:lang w:val="en-US" w:eastAsia="zh-CN"/>
        </w:rPr>
        <w:t xml:space="preserve"> on the CLI </w:t>
      </w:r>
      <w:r w:rsidR="00173BC4">
        <w:rPr>
          <w:noProof/>
          <w:lang w:val="en-US" w:eastAsia="zh-CN"/>
        </w:rPr>
        <w:t>mitigation options.</w:t>
      </w:r>
      <w:r w:rsidR="005312AA">
        <w:rPr>
          <w:noProof/>
          <w:lang w:val="en-US" w:eastAsia="zh-CN"/>
        </w:rPr>
        <w:t xml:space="preserve"> I would like to thank </w:t>
      </w:r>
      <w:r w:rsidR="005312AA" w:rsidRPr="005312AA">
        <w:rPr>
          <w:noProof/>
          <w:lang w:val="en-US" w:eastAsia="zh-CN"/>
        </w:rPr>
        <w:t>Richard Tang of Verizon</w:t>
      </w:r>
      <w:r w:rsidR="005312AA">
        <w:rPr>
          <w:noProof/>
          <w:lang w:val="en-US" w:eastAsia="zh-CN"/>
        </w:rPr>
        <w:t xml:space="preserve"> for educating Charter on this topic.</w:t>
      </w:r>
    </w:p>
    <w:p w14:paraId="670389BB" w14:textId="77777777" w:rsidR="002C57D3" w:rsidRDefault="002C57D3">
      <w:pPr>
        <w:overflowPunct/>
        <w:autoSpaceDE/>
        <w:autoSpaceDN/>
        <w:adjustRightInd/>
        <w:textAlignment w:val="auto"/>
        <w:rPr>
          <w:rFonts w:ascii="Tahoma" w:eastAsia="Cambria" w:hAnsi="Tahoma" w:cs="Consolas"/>
          <w:sz w:val="36"/>
          <w:szCs w:val="20"/>
        </w:rPr>
      </w:pPr>
      <w:r>
        <w:br w:type="page"/>
      </w:r>
    </w:p>
    <w:p w14:paraId="01B999B3" w14:textId="0DC7B69C" w:rsidR="00CD2111" w:rsidRPr="00511355" w:rsidRDefault="002C57D3" w:rsidP="00511355">
      <w:pPr>
        <w:pStyle w:val="Heading1"/>
      </w:pPr>
      <w:r>
        <w:lastRenderedPageBreak/>
        <w:t>D</w:t>
      </w:r>
      <w:r w:rsidR="00E614FA" w:rsidRPr="00511355">
        <w:t>iscussion</w:t>
      </w:r>
    </w:p>
    <w:p w14:paraId="451E5F1C" w14:textId="1789F670" w:rsidR="009847F2" w:rsidRDefault="009847F2" w:rsidP="001F0E36">
      <w:pPr>
        <w:rPr>
          <w:lang w:val="en-US" w:eastAsia="zh-CN"/>
        </w:rPr>
      </w:pPr>
      <w:r>
        <w:rPr>
          <w:lang w:val="en-US" w:eastAsia="zh-CN"/>
        </w:rPr>
        <w:t>It was agreed that UE-to-UE CLI is worst at cell edge, when the two UEs are in a cluster location (same area)</w:t>
      </w:r>
      <w:r w:rsidR="002C57D3">
        <w:rPr>
          <w:lang w:val="en-US" w:eastAsia="zh-CN"/>
        </w:rPr>
        <w:t>, as shown in Rel. 18 study, TR 38.858 [1] section 11.3.1-1.</w:t>
      </w:r>
    </w:p>
    <w:p w14:paraId="0B556881" w14:textId="77777777" w:rsidR="009847F2" w:rsidRDefault="009847F2" w:rsidP="001F0E36">
      <w:pPr>
        <w:rPr>
          <w:lang w:val="en-US" w:eastAsia="zh-CN"/>
        </w:rPr>
      </w:pPr>
    </w:p>
    <w:p w14:paraId="431D84F0" w14:textId="45794FFF" w:rsidR="00B42F88" w:rsidRDefault="009847F2" w:rsidP="002C57D3">
      <w:pPr>
        <w:rPr>
          <w:noProof/>
          <w:lang w:val="en-US" w:eastAsia="zh-CN"/>
        </w:rPr>
      </w:pPr>
      <w:r>
        <w:rPr>
          <w:lang w:val="en-US" w:eastAsia="zh-CN"/>
        </w:rPr>
        <w:t>The next diagram shows that DUD (40%, 20%, 40%) is optimal to mitigate this issue, as its IM</w:t>
      </w:r>
      <w:r w:rsidRPr="009847F2">
        <w:rPr>
          <w:vertAlign w:val="subscript"/>
          <w:lang w:val="en-US" w:eastAsia="zh-CN"/>
        </w:rPr>
        <w:t>7</w:t>
      </w:r>
      <w:r>
        <w:rPr>
          <w:lang w:val="en-US" w:eastAsia="zh-CN"/>
        </w:rPr>
        <w:t xml:space="preserve"> noise is reduced much more then IM</w:t>
      </w:r>
      <w:r>
        <w:rPr>
          <w:vertAlign w:val="subscript"/>
          <w:lang w:val="en-US" w:eastAsia="zh-CN"/>
        </w:rPr>
        <w:t>3</w:t>
      </w:r>
      <w:r w:rsidRPr="009847F2">
        <w:rPr>
          <w:lang w:val="en-US" w:eastAsia="zh-CN"/>
        </w:rPr>
        <w:t xml:space="preserve"> </w:t>
      </w:r>
      <w:r>
        <w:rPr>
          <w:lang w:val="en-US" w:eastAsia="zh-CN"/>
        </w:rPr>
        <w:t>and IM</w:t>
      </w:r>
      <w:r>
        <w:rPr>
          <w:vertAlign w:val="subscript"/>
          <w:lang w:val="en-US" w:eastAsia="zh-CN"/>
        </w:rPr>
        <w:t>5</w:t>
      </w:r>
      <w:r w:rsidR="002C57D3">
        <w:rPr>
          <w:lang w:val="en-US" w:eastAsia="zh-CN"/>
        </w:rPr>
        <w:t>. Additionally, its IM</w:t>
      </w:r>
      <w:r w:rsidR="002C57D3">
        <w:rPr>
          <w:vertAlign w:val="subscript"/>
          <w:lang w:val="en-US" w:eastAsia="zh-CN"/>
        </w:rPr>
        <w:t>3</w:t>
      </w:r>
      <w:r w:rsidR="002C57D3" w:rsidRPr="009847F2">
        <w:rPr>
          <w:lang w:val="en-US" w:eastAsia="zh-CN"/>
        </w:rPr>
        <w:t xml:space="preserve"> </w:t>
      </w:r>
      <w:r w:rsidR="002C57D3">
        <w:rPr>
          <w:lang w:val="en-US" w:eastAsia="zh-CN"/>
        </w:rPr>
        <w:t>and IM</w:t>
      </w:r>
      <w:r w:rsidR="002C57D3">
        <w:rPr>
          <w:vertAlign w:val="subscript"/>
          <w:lang w:val="en-US" w:eastAsia="zh-CN"/>
        </w:rPr>
        <w:t>5</w:t>
      </w:r>
      <w:r w:rsidR="002C57D3" w:rsidRPr="002C57D3">
        <w:rPr>
          <w:lang w:val="en-US" w:eastAsia="zh-CN"/>
        </w:rPr>
        <w:t xml:space="preserve"> </w:t>
      </w:r>
      <w:r w:rsidR="002C57D3">
        <w:rPr>
          <w:lang w:val="en-US" w:eastAsia="zh-CN"/>
        </w:rPr>
        <w:t xml:space="preserve">do not reach the adjacent channel. </w:t>
      </w:r>
    </w:p>
    <w:p w14:paraId="2D22315F" w14:textId="4CF31A7F" w:rsidR="008E7DBD" w:rsidRDefault="00D85201" w:rsidP="002C57D3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E7A9339" wp14:editId="3C0CAA6E">
            <wp:extent cx="6743065" cy="4993005"/>
            <wp:effectExtent l="0" t="0" r="635" b="0"/>
            <wp:docPr id="18225862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065" cy="499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A383C3" w14:textId="4E30F1AF" w:rsidR="00E750B3" w:rsidRDefault="00E750B3" w:rsidP="00E750B3">
      <w:pPr>
        <w:rPr>
          <w:lang w:val="en-US" w:eastAsia="zh-CN"/>
        </w:rPr>
      </w:pPr>
      <w:r>
        <w:rPr>
          <w:lang w:val="en-US" w:eastAsia="zh-CN"/>
        </w:rPr>
        <w:t xml:space="preserve">DUD is </w:t>
      </w:r>
      <w:r w:rsidR="0034775D">
        <w:rPr>
          <w:lang w:val="en-US" w:eastAsia="zh-CN"/>
        </w:rPr>
        <w:t>much</w:t>
      </w:r>
      <w:r>
        <w:rPr>
          <w:lang w:val="en-US" w:eastAsia="zh-CN"/>
        </w:rPr>
        <w:t xml:space="preserve"> better than DU, since DU protect</w:t>
      </w:r>
      <w:r w:rsidR="00AC2A31">
        <w:rPr>
          <w:lang w:val="en-US" w:eastAsia="zh-CN"/>
        </w:rPr>
        <w:t>s</w:t>
      </w:r>
      <w:r>
        <w:rPr>
          <w:lang w:val="en-US" w:eastAsia="zh-CN"/>
        </w:rPr>
        <w:t xml:space="preserve"> only the left side carrier, but not the right-side carrier.</w:t>
      </w:r>
      <w:r w:rsidR="0034775D">
        <w:rPr>
          <w:lang w:val="en-US" w:eastAsia="zh-CN"/>
        </w:rPr>
        <w:t xml:space="preserve"> Also, DU creates IM3, which is much more powerful noise than IM7. </w:t>
      </w:r>
      <w:r>
        <w:rPr>
          <w:lang w:val="en-US" w:eastAsia="zh-CN"/>
        </w:rPr>
        <w:t xml:space="preserve"> Therefore, a single operator </w:t>
      </w:r>
      <w:r w:rsidRPr="00E750B3">
        <w:rPr>
          <w:lang w:val="en-US" w:eastAsia="zh-CN"/>
        </w:rPr>
        <w:t>owning both networks could mitigate this UE-to-UE CLI, by</w:t>
      </w:r>
      <w:r>
        <w:rPr>
          <w:lang w:val="en-US" w:eastAsia="zh-CN"/>
        </w:rPr>
        <w:t xml:space="preserve"> using DUD (40%, 20%, 40%), and by </w:t>
      </w:r>
      <w:r w:rsidRPr="00E750B3">
        <w:rPr>
          <w:lang w:val="en-US" w:eastAsia="zh-CN"/>
        </w:rPr>
        <w:t xml:space="preserve">reducing </w:t>
      </w:r>
      <w:r w:rsidRPr="004B790E">
        <w:rPr>
          <w:lang w:val="en-US" w:eastAsia="zh-CN"/>
        </w:rPr>
        <w:t>P</w:t>
      </w:r>
      <w:r>
        <w:rPr>
          <w:vertAlign w:val="subscript"/>
          <w:lang w:val="en-US" w:eastAsia="zh-CN"/>
        </w:rPr>
        <w:t>CM</w:t>
      </w:r>
      <w:r w:rsidRPr="004C662A">
        <w:rPr>
          <w:vertAlign w:val="subscript"/>
          <w:lang w:val="en-US" w:eastAsia="zh-CN"/>
        </w:rPr>
        <w:t>AX</w:t>
      </w:r>
      <w:r>
        <w:rPr>
          <w:lang w:val="en-US" w:eastAsia="zh-CN"/>
        </w:rPr>
        <w:t xml:space="preserve"> of the SBFD UE by </w:t>
      </w:r>
      <w:r w:rsidRPr="004B790E">
        <w:rPr>
          <w:noProof/>
          <w:lang w:val="en-US" w:eastAsia="zh-CN"/>
        </w:rPr>
        <w:t>X</w:t>
      </w:r>
      <w:r w:rsidRPr="006F058B">
        <w:rPr>
          <w:noProof/>
          <w:vertAlign w:val="subscript"/>
          <w:lang w:val="en-US" w:eastAsia="zh-CN"/>
        </w:rPr>
        <w:t>dB</w:t>
      </w:r>
      <w:r>
        <w:rPr>
          <w:noProof/>
          <w:lang w:val="en-US" w:eastAsia="zh-CN"/>
        </w:rPr>
        <w:t>.</w:t>
      </w:r>
    </w:p>
    <w:p w14:paraId="726E798A" w14:textId="77777777" w:rsidR="002C57D3" w:rsidRDefault="002C57D3" w:rsidP="001F0E36">
      <w:pPr>
        <w:rPr>
          <w:lang w:val="en-US" w:eastAsia="zh-CN"/>
        </w:rPr>
      </w:pPr>
    </w:p>
    <w:p w14:paraId="60F006AE" w14:textId="77777777" w:rsidR="001E19C5" w:rsidRDefault="001E19C5" w:rsidP="001F0E36">
      <w:pPr>
        <w:rPr>
          <w:lang w:val="en-US" w:eastAsia="zh-CN"/>
        </w:rPr>
      </w:pPr>
    </w:p>
    <w:p w14:paraId="1D3858A8" w14:textId="77777777" w:rsidR="00C93C4C" w:rsidRDefault="00C93C4C" w:rsidP="001F0E36">
      <w:pPr>
        <w:rPr>
          <w:lang w:val="en-US" w:eastAsia="zh-CN"/>
        </w:rPr>
      </w:pPr>
    </w:p>
    <w:p w14:paraId="28A5928A" w14:textId="1277A97A" w:rsidR="001E19C5" w:rsidRDefault="001E19C5" w:rsidP="001E19C5">
      <w:pPr>
        <w:pStyle w:val="Heading2"/>
        <w:rPr>
          <w:lang w:val="en-US" w:eastAsia="zh-CN"/>
        </w:rPr>
      </w:pPr>
      <w:r>
        <w:rPr>
          <w:lang w:val="en-US" w:eastAsia="zh-CN"/>
        </w:rPr>
        <w:t>Limiting Maximum UE Transmit power in SBFD symbols/</w:t>
      </w:r>
      <w:r w:rsidR="00AC780B">
        <w:rPr>
          <w:lang w:val="en-US" w:eastAsia="zh-CN"/>
        </w:rPr>
        <w:t>slots.</w:t>
      </w:r>
    </w:p>
    <w:p w14:paraId="3A9723D3" w14:textId="11A14241" w:rsidR="003D404D" w:rsidRDefault="001E19C5" w:rsidP="001F0E36">
      <w:pPr>
        <w:rPr>
          <w:lang w:val="en-US" w:eastAsia="zh-CN"/>
        </w:rPr>
      </w:pPr>
      <w:r>
        <w:rPr>
          <w:lang w:val="en-US" w:eastAsia="zh-CN"/>
        </w:rPr>
        <w:t xml:space="preserve">As mentioned above, the benefit of allowing UEs to transmit at the maximum power level during the SBFD symbols/slots may </w:t>
      </w:r>
      <w:r w:rsidR="007A67B8">
        <w:rPr>
          <w:lang w:val="en-US" w:eastAsia="zh-CN"/>
        </w:rPr>
        <w:t xml:space="preserve">not </w:t>
      </w:r>
      <w:r>
        <w:rPr>
          <w:lang w:val="en-US" w:eastAsia="zh-CN"/>
        </w:rPr>
        <w:t xml:space="preserve">be beneficial to the UEs </w:t>
      </w:r>
      <w:r w:rsidR="007A67B8">
        <w:rPr>
          <w:lang w:val="en-US" w:eastAsia="zh-CN"/>
        </w:rPr>
        <w:t xml:space="preserve">and </w:t>
      </w:r>
      <w:r>
        <w:rPr>
          <w:lang w:val="en-US" w:eastAsia="zh-CN"/>
        </w:rPr>
        <w:t xml:space="preserve">may </w:t>
      </w:r>
      <w:r w:rsidR="001F0E36">
        <w:rPr>
          <w:lang w:val="en-US" w:eastAsia="zh-CN"/>
        </w:rPr>
        <w:t>increase</w:t>
      </w:r>
      <w:r>
        <w:rPr>
          <w:lang w:val="en-US" w:eastAsia="zh-CN"/>
        </w:rPr>
        <w:t xml:space="preserve"> UE-to-UE</w:t>
      </w:r>
      <w:r w:rsidR="001F0E36">
        <w:rPr>
          <w:lang w:val="en-US" w:eastAsia="zh-CN"/>
        </w:rPr>
        <w:t xml:space="preserve"> CLI in the adjacent networks. </w:t>
      </w:r>
      <w:r w:rsidR="003D404D">
        <w:rPr>
          <w:lang w:val="en-US" w:eastAsia="zh-CN"/>
        </w:rPr>
        <w:t>This UE-to-UE CLI is worse when the UEs of adjacent legacy TDD network are at the</w:t>
      </w:r>
      <w:r w:rsidR="007A67B8">
        <w:rPr>
          <w:lang w:val="en-US" w:eastAsia="zh-CN"/>
        </w:rPr>
        <w:t>ir</w:t>
      </w:r>
      <w:r w:rsidR="003D404D">
        <w:rPr>
          <w:lang w:val="en-US" w:eastAsia="zh-CN"/>
        </w:rPr>
        <w:t xml:space="preserve"> cell edge and SBFD</w:t>
      </w:r>
      <w:r w:rsidR="00AC780B">
        <w:rPr>
          <w:lang w:val="en-US" w:eastAsia="zh-CN"/>
        </w:rPr>
        <w:t>-A</w:t>
      </w:r>
      <w:r w:rsidR="003D404D">
        <w:rPr>
          <w:lang w:val="en-US" w:eastAsia="zh-CN"/>
        </w:rPr>
        <w:t>ware UEs are close to it as shown in Rel. 18 study, TR 38.858 [1] section 11.3.1-1.</w:t>
      </w:r>
    </w:p>
    <w:p w14:paraId="46C3E481" w14:textId="77777777" w:rsidR="003D404D" w:rsidRDefault="003D404D" w:rsidP="001F0E36">
      <w:pPr>
        <w:rPr>
          <w:lang w:val="en-US" w:eastAsia="zh-CN"/>
        </w:rPr>
      </w:pPr>
    </w:p>
    <w:p w14:paraId="1303B2C6" w14:textId="0AA47FEC" w:rsidR="001F0E36" w:rsidRDefault="001F0E36" w:rsidP="001F0E36">
      <w:pPr>
        <w:rPr>
          <w:lang w:val="en-US" w:eastAsia="zh-CN"/>
        </w:rPr>
      </w:pPr>
      <w:r>
        <w:rPr>
          <w:lang w:val="en-US" w:eastAsia="zh-CN"/>
        </w:rPr>
        <w:t xml:space="preserve">To limit this increase in </w:t>
      </w:r>
      <w:r w:rsidR="003D404D">
        <w:rPr>
          <w:lang w:val="en-US" w:eastAsia="zh-CN"/>
        </w:rPr>
        <w:t xml:space="preserve">UE-to-UE </w:t>
      </w:r>
      <w:r>
        <w:rPr>
          <w:lang w:val="en-US" w:eastAsia="zh-CN"/>
        </w:rPr>
        <w:t>CLI</w:t>
      </w:r>
      <w:r w:rsidR="003D404D">
        <w:rPr>
          <w:lang w:val="en-US" w:eastAsia="zh-CN"/>
        </w:rPr>
        <w:t xml:space="preserve"> in the adjacent legacy TDD networks</w:t>
      </w:r>
      <w:r>
        <w:rPr>
          <w:lang w:val="en-US" w:eastAsia="zh-CN"/>
        </w:rPr>
        <w:t>, it will be more efficient to</w:t>
      </w:r>
      <w:r w:rsidR="00AC2A31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limit maximum transmit power of UEs during SBFD symbols/slots, while keeping </w:t>
      </w:r>
      <w:r w:rsidR="00AC2A3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maximum transmit power of UEs during </w:t>
      </w:r>
      <w:r w:rsidR="00AC2A3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legacy UL symbols/slots same as </w:t>
      </w:r>
      <w:r w:rsidR="00371E62">
        <w:rPr>
          <w:lang w:val="en-US" w:eastAsia="zh-CN"/>
        </w:rPr>
        <w:t xml:space="preserve">in case of </w:t>
      </w:r>
      <w:r>
        <w:rPr>
          <w:lang w:val="en-US" w:eastAsia="zh-CN"/>
        </w:rPr>
        <w:t xml:space="preserve">legacy </w:t>
      </w:r>
      <w:r w:rsidR="00371E62">
        <w:rPr>
          <w:lang w:val="en-US" w:eastAsia="zh-CN"/>
        </w:rPr>
        <w:t xml:space="preserve">TDD systems </w:t>
      </w:r>
      <w:r>
        <w:rPr>
          <w:lang w:val="en-US" w:eastAsia="zh-CN"/>
        </w:rPr>
        <w:t xml:space="preserve">as shown in the </w:t>
      </w:r>
      <w:r w:rsidR="00C93C4C">
        <w:rPr>
          <w:lang w:val="en-US" w:eastAsia="zh-CN"/>
        </w:rPr>
        <w:t xml:space="preserve">following </w:t>
      </w:r>
      <w:r>
        <w:rPr>
          <w:lang w:val="en-US" w:eastAsia="zh-CN"/>
        </w:rPr>
        <w:t>figure:</w:t>
      </w:r>
    </w:p>
    <w:p w14:paraId="6E96B781" w14:textId="5C9C72B7" w:rsidR="007C6F72" w:rsidRDefault="007C6F72" w:rsidP="00C93C4C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D9BCAF9" wp14:editId="1AA5DC27">
            <wp:extent cx="3546282" cy="2592371"/>
            <wp:effectExtent l="0" t="0" r="0" b="0"/>
            <wp:docPr id="1881738671" name="Picture 15" descr="A diagram of a signa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738671" name="Picture 15" descr="A diagram of a signal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40"/>
                    <a:stretch/>
                  </pic:blipFill>
                  <pic:spPr bwMode="auto">
                    <a:xfrm>
                      <a:off x="0" y="0"/>
                      <a:ext cx="3551927" cy="2596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D8C2CB" w14:textId="77777777" w:rsidR="00C93C4C" w:rsidRDefault="00C93C4C" w:rsidP="003D404D">
      <w:pPr>
        <w:rPr>
          <w:lang w:val="en-US" w:eastAsia="zh-CN"/>
        </w:rPr>
      </w:pPr>
    </w:p>
    <w:p w14:paraId="34FBF425" w14:textId="1CD0168B" w:rsidR="003D404D" w:rsidRDefault="00C93C4C" w:rsidP="003D404D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3D404D">
        <w:rPr>
          <w:lang w:val="en-US" w:eastAsia="zh-CN"/>
        </w:rPr>
        <w:t xml:space="preserve">figure </w:t>
      </w:r>
      <w:r>
        <w:rPr>
          <w:lang w:val="en-US" w:eastAsia="zh-CN"/>
        </w:rPr>
        <w:t xml:space="preserve">above </w:t>
      </w:r>
      <w:r w:rsidR="003D404D">
        <w:rPr>
          <w:lang w:val="en-US" w:eastAsia="zh-CN"/>
        </w:rPr>
        <w:t xml:space="preserve">shows that SBFD aware UEs will </w:t>
      </w:r>
      <w:r w:rsidR="007E59E7">
        <w:rPr>
          <w:lang w:val="en-US" w:eastAsia="zh-CN"/>
        </w:rPr>
        <w:t>transmit</w:t>
      </w:r>
      <w:r w:rsidR="003D404D">
        <w:rPr>
          <w:lang w:val="en-US" w:eastAsia="zh-CN"/>
        </w:rPr>
        <w:t xml:space="preserve"> at </w:t>
      </w:r>
      <w:r w:rsidR="007E59E7">
        <w:rPr>
          <w:lang w:val="en-US" w:eastAsia="zh-CN"/>
        </w:rPr>
        <w:t xml:space="preserve">a </w:t>
      </w:r>
      <w:r w:rsidR="003D404D">
        <w:rPr>
          <w:lang w:val="en-US" w:eastAsia="zh-CN"/>
        </w:rPr>
        <w:t>higher power level than the legacy TDD UEs</w:t>
      </w:r>
      <w:r w:rsidR="007E59E7">
        <w:rPr>
          <w:lang w:val="en-US" w:eastAsia="zh-CN"/>
        </w:rPr>
        <w:t>. Th</w:t>
      </w:r>
      <w:r w:rsidR="007A67B8">
        <w:rPr>
          <w:lang w:val="en-US" w:eastAsia="zh-CN"/>
        </w:rPr>
        <w:t>is</w:t>
      </w:r>
      <w:r w:rsidR="007E59E7">
        <w:rPr>
          <w:lang w:val="en-US" w:eastAsia="zh-CN"/>
        </w:rPr>
        <w:t xml:space="preserve"> higher power is caused by the </w:t>
      </w:r>
      <w:r w:rsidR="007E59E7" w:rsidRPr="004F347E">
        <w:rPr>
          <w:rFonts w:asciiTheme="minorBidi" w:hAnsiTheme="minorBidi" w:cstheme="minorBidi"/>
          <w:color w:val="FF0000"/>
          <w:sz w:val="18"/>
          <w:szCs w:val="22"/>
          <w:lang w:val="en-US" w:eastAsia="zh-CN"/>
        </w:rPr>
        <w:t>interference factor</w:t>
      </w:r>
      <w:r w:rsidR="007E59E7">
        <w:rPr>
          <w:lang w:val="en-US" w:eastAsia="zh-CN"/>
        </w:rPr>
        <w:t xml:space="preserve">, caused by </w:t>
      </w:r>
      <w:r w:rsidR="007E59E7">
        <w:rPr>
          <w:noProof/>
          <w:lang w:val="en-US" w:eastAsia="zh-CN"/>
        </w:rPr>
        <w:t>gNB-to-gNB</w:t>
      </w:r>
      <w:r w:rsidR="007E59E7">
        <w:rPr>
          <w:lang w:val="en-US" w:eastAsia="zh-CN"/>
        </w:rPr>
        <w:t xml:space="preserve"> interference, where the aggressor is TDD, and the victim is SBFD. T</w:t>
      </w:r>
      <w:r w:rsidR="003D404D">
        <w:rPr>
          <w:lang w:val="en-US" w:eastAsia="zh-CN"/>
        </w:rPr>
        <w:t>o overcome th</w:t>
      </w:r>
      <w:r w:rsidR="007E59E7">
        <w:rPr>
          <w:lang w:val="en-US" w:eastAsia="zh-CN"/>
        </w:rPr>
        <w:t>is</w:t>
      </w:r>
      <w:r w:rsidR="003D404D">
        <w:rPr>
          <w:lang w:val="en-US" w:eastAsia="zh-CN"/>
        </w:rPr>
        <w:t xml:space="preserve"> interference at the </w:t>
      </w:r>
      <w:r w:rsidR="007E59E7">
        <w:rPr>
          <w:lang w:val="en-US" w:eastAsia="zh-CN"/>
        </w:rPr>
        <w:t xml:space="preserve">SBFD </w:t>
      </w:r>
      <w:r w:rsidR="003D404D">
        <w:rPr>
          <w:noProof/>
          <w:lang w:val="en-US" w:eastAsia="zh-CN"/>
        </w:rPr>
        <w:t>gNB</w:t>
      </w:r>
      <w:r w:rsidR="003D404D">
        <w:rPr>
          <w:lang w:val="en-US" w:eastAsia="zh-CN"/>
        </w:rPr>
        <w:t xml:space="preserve"> receiver</w:t>
      </w:r>
      <w:r w:rsidR="007E59E7">
        <w:rPr>
          <w:lang w:val="en-US" w:eastAsia="zh-CN"/>
        </w:rPr>
        <w:t xml:space="preserve">, the UE will need to boost its power. This may cause UE-to-UE CLI, where now the aggressor is the SBFD </w:t>
      </w:r>
      <w:r w:rsidR="007E59E7">
        <w:rPr>
          <w:noProof/>
          <w:lang w:val="en-US" w:eastAsia="zh-CN"/>
        </w:rPr>
        <w:t>UE</w:t>
      </w:r>
      <w:r w:rsidR="007E59E7">
        <w:rPr>
          <w:lang w:val="en-US" w:eastAsia="zh-CN"/>
        </w:rPr>
        <w:t xml:space="preserve"> and the victim is TDD UE. T</w:t>
      </w:r>
      <w:r w:rsidR="003D404D">
        <w:rPr>
          <w:lang w:val="en-US" w:eastAsia="zh-CN"/>
        </w:rPr>
        <w:t>o mitigate th</w:t>
      </w:r>
      <w:r w:rsidR="007E59E7">
        <w:rPr>
          <w:lang w:val="en-US" w:eastAsia="zh-CN"/>
        </w:rPr>
        <w:t>is</w:t>
      </w:r>
      <w:r w:rsidR="003D404D">
        <w:rPr>
          <w:lang w:val="en-US" w:eastAsia="zh-CN"/>
        </w:rPr>
        <w:t xml:space="preserve"> UE-to-UE CLI in the adjacent networks the maximum UE transmit power </w:t>
      </w:r>
      <w:r w:rsidR="007E59E7">
        <w:rPr>
          <w:lang w:val="en-US" w:eastAsia="zh-CN"/>
        </w:rPr>
        <w:t>should be</w:t>
      </w:r>
      <w:r w:rsidR="003D404D">
        <w:rPr>
          <w:lang w:val="en-US" w:eastAsia="zh-CN"/>
        </w:rPr>
        <w:t xml:space="preserve"> limited to a value lower than the maximum transmit power allowed in the legacy TDD networks. </w:t>
      </w:r>
      <w:r w:rsidR="003D404D" w:rsidRPr="003D404D">
        <w:rPr>
          <w:lang w:val="en-US" w:eastAsia="zh-CN"/>
        </w:rPr>
        <w:t>Based on the above figure we propose</w:t>
      </w:r>
    </w:p>
    <w:p w14:paraId="1B078923" w14:textId="77777777" w:rsidR="003D404D" w:rsidRDefault="003D404D" w:rsidP="003D404D">
      <w:pPr>
        <w:rPr>
          <w:lang w:val="en-US" w:eastAsia="zh-CN"/>
        </w:rPr>
      </w:pPr>
    </w:p>
    <w:p w14:paraId="1EFB71C7" w14:textId="14B5C401" w:rsidR="003D404D" w:rsidRPr="003D404D" w:rsidRDefault="003D404D" w:rsidP="003D404D">
      <w:pPr>
        <w:rPr>
          <w:lang w:val="en-US" w:eastAsia="zh-CN"/>
        </w:rPr>
      </w:pPr>
      <m:oMathPara>
        <m:oMath>
          <m:r>
            <w:rPr>
              <w:rFonts w:ascii="Cambria Math" w:hAnsi="Cambria Math"/>
              <w:lang w:val="en-US" w:eastAsia="zh-CN"/>
            </w:rPr>
            <m:t>Transmit power</m:t>
          </m:r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US" w:eastAsia="zh-CN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CMAX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 w:eastAsia="zh-CN"/>
                        </w:rPr>
                        <m:t xml:space="preserve">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tx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  &amp;non-SBFD symbols/slots</m:t>
                  </m:r>
                </m:e>
                <m:e>
                  <m:r>
                    <w:rPr>
                      <w:rFonts w:ascii="Cambria Math" w:hAnsi="Cambria Math"/>
                      <w:lang w:val="en-US" w:eastAsia="zh-CN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CMAX,SBFD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 w:eastAsia="zh-CN"/>
                        </w:rPr>
                        <m:t xml:space="preserve">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tx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  &amp;SBFD symbols/slots</m:t>
                  </m:r>
                </m:e>
              </m:eqArr>
            </m:e>
          </m:d>
        </m:oMath>
      </m:oMathPara>
    </w:p>
    <w:p w14:paraId="2A32604C" w14:textId="77777777" w:rsidR="004F347E" w:rsidRDefault="004F347E" w:rsidP="003D404D">
      <w:pPr>
        <w:rPr>
          <w:lang w:val="en-US" w:eastAsia="zh-CN"/>
        </w:rPr>
      </w:pPr>
    </w:p>
    <w:p w14:paraId="348016D2" w14:textId="14E18184" w:rsidR="004C662A" w:rsidRDefault="004C662A" w:rsidP="003D404D">
      <w:pPr>
        <w:rPr>
          <w:lang w:val="en-US" w:eastAsia="zh-CN"/>
        </w:rPr>
      </w:pPr>
      <w:r>
        <w:rPr>
          <w:lang w:val="en-US" w:eastAsia="zh-CN"/>
        </w:rPr>
        <w:t>Where</w:t>
      </w:r>
      <w:r w:rsidR="00AC780B">
        <w:rPr>
          <w:lang w:val="en-US" w:eastAsia="zh-CN"/>
        </w:rPr>
        <w:t>:</w:t>
      </w:r>
    </w:p>
    <w:p w14:paraId="34DBFC18" w14:textId="257D100F" w:rsidR="004C662A" w:rsidRDefault="004C662A" w:rsidP="003D404D">
      <w:pPr>
        <w:rPr>
          <w:lang w:val="en-US" w:eastAsia="zh-CN"/>
        </w:rPr>
      </w:pPr>
      <w:r>
        <w:rPr>
          <w:noProof/>
          <w:lang w:val="en-US" w:eastAsia="zh-CN"/>
        </w:rPr>
        <w:t>P</w:t>
      </w:r>
      <w:r w:rsidRPr="004C662A">
        <w:rPr>
          <w:noProof/>
          <w:vertAlign w:val="subscript"/>
          <w:lang w:val="en-US" w:eastAsia="zh-CN"/>
        </w:rPr>
        <w:t>tx</w:t>
      </w:r>
      <w:r>
        <w:rPr>
          <w:lang w:val="en-US" w:eastAsia="zh-CN"/>
        </w:rPr>
        <w:t xml:space="preserve"> = transmit power as defined in 38.213 [3] for different Channels (PUSCH/PUCCH/RACH/SRS)</w:t>
      </w:r>
    </w:p>
    <w:p w14:paraId="358399C9" w14:textId="6178D770" w:rsidR="004C662A" w:rsidRDefault="004C662A" w:rsidP="003D404D">
      <w:pPr>
        <w:rPr>
          <w:lang w:val="en-US" w:eastAsia="zh-CN"/>
        </w:rPr>
      </w:pPr>
      <w:r w:rsidRPr="004B790E">
        <w:rPr>
          <w:lang w:val="en-US" w:eastAsia="zh-CN"/>
        </w:rPr>
        <w:t>P</w:t>
      </w:r>
      <w:r>
        <w:rPr>
          <w:vertAlign w:val="subscript"/>
          <w:lang w:val="en-US" w:eastAsia="zh-CN"/>
        </w:rPr>
        <w:t>CM</w:t>
      </w:r>
      <w:r w:rsidRPr="004C662A">
        <w:rPr>
          <w:vertAlign w:val="subscript"/>
          <w:lang w:val="en-US" w:eastAsia="zh-CN"/>
        </w:rPr>
        <w:t>AX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= UE configured maximum output power as specified in [8-1, 38.101-1], [8-2, 38.101-2], and [8-3. 38.101-3] </w:t>
      </w:r>
    </w:p>
    <w:p w14:paraId="127B4B7B" w14:textId="77777777" w:rsidR="003B001B" w:rsidRDefault="003B001B" w:rsidP="003D404D">
      <w:pPr>
        <w:rPr>
          <w:lang w:val="en-US" w:eastAsia="zh-CN"/>
        </w:rPr>
      </w:pPr>
    </w:p>
    <w:p w14:paraId="20AD55BA" w14:textId="2730886D" w:rsidR="003D404D" w:rsidRDefault="003D404D" w:rsidP="003D404D">
      <w:pPr>
        <w:rPr>
          <w:lang w:val="en-US" w:eastAsia="zh-CN"/>
        </w:rPr>
      </w:pPr>
      <w:r w:rsidRPr="004B790E">
        <w:rPr>
          <w:noProof/>
          <w:lang w:val="en-US" w:eastAsia="zh-CN"/>
        </w:rPr>
        <w:t>P</w:t>
      </w:r>
      <w:r w:rsidR="004C662A">
        <w:rPr>
          <w:noProof/>
          <w:vertAlign w:val="subscript"/>
          <w:lang w:val="en-US" w:eastAsia="zh-CN"/>
        </w:rPr>
        <w:t>CM</w:t>
      </w:r>
      <w:r w:rsidRPr="004C662A">
        <w:rPr>
          <w:noProof/>
          <w:vertAlign w:val="subscript"/>
          <w:lang w:val="en-US" w:eastAsia="zh-CN"/>
        </w:rPr>
        <w:t>AX,SBFD</w:t>
      </w:r>
      <w:r w:rsidRPr="004C662A">
        <w:rPr>
          <w:vertAlign w:val="subscript"/>
          <w:lang w:val="en-US" w:eastAsia="zh-CN"/>
        </w:rPr>
        <w:t xml:space="preserve"> </w:t>
      </w:r>
      <w:r w:rsidRPr="004B790E">
        <w:rPr>
          <w:lang w:val="en-US" w:eastAsia="zh-CN"/>
        </w:rPr>
        <w:t xml:space="preserve">= </w:t>
      </w:r>
      <w:r w:rsidR="003B001B" w:rsidRPr="004B790E">
        <w:rPr>
          <w:lang w:val="en-US" w:eastAsia="zh-CN"/>
        </w:rPr>
        <w:t>P</w:t>
      </w:r>
      <w:r w:rsidR="003B001B">
        <w:rPr>
          <w:vertAlign w:val="subscript"/>
          <w:lang w:val="en-US" w:eastAsia="zh-CN"/>
        </w:rPr>
        <w:t>CM</w:t>
      </w:r>
      <w:r w:rsidR="003B001B" w:rsidRPr="004C662A">
        <w:rPr>
          <w:vertAlign w:val="subscript"/>
          <w:lang w:val="en-US" w:eastAsia="zh-CN"/>
        </w:rPr>
        <w:t>AX</w:t>
      </w:r>
      <w:r w:rsidR="003B001B" w:rsidRPr="004B790E">
        <w:rPr>
          <w:lang w:val="en-US" w:eastAsia="zh-CN"/>
        </w:rPr>
        <w:t xml:space="preserve"> </w:t>
      </w:r>
      <w:r w:rsidR="00371E62">
        <w:rPr>
          <w:lang w:val="en-US" w:eastAsia="zh-CN"/>
        </w:rPr>
        <w:t>–</w:t>
      </w:r>
      <w:r w:rsidRPr="004B790E">
        <w:rPr>
          <w:lang w:val="en-US" w:eastAsia="zh-CN"/>
        </w:rPr>
        <w:t xml:space="preserve"> </w:t>
      </w:r>
      <w:r w:rsidRPr="004B790E">
        <w:rPr>
          <w:noProof/>
          <w:lang w:val="en-US" w:eastAsia="zh-CN"/>
        </w:rPr>
        <w:t>X</w:t>
      </w:r>
      <w:r w:rsidRPr="006F058B">
        <w:rPr>
          <w:noProof/>
          <w:vertAlign w:val="subscript"/>
          <w:lang w:val="en-US" w:eastAsia="zh-CN"/>
        </w:rPr>
        <w:t>dB</w:t>
      </w:r>
      <w:r w:rsidRPr="004B790E">
        <w:rPr>
          <w:lang w:val="en-US" w:eastAsia="zh-CN"/>
        </w:rPr>
        <w:t xml:space="preserve"> where </w:t>
      </w:r>
      <w:r w:rsidR="006F058B" w:rsidRPr="004B790E">
        <w:rPr>
          <w:noProof/>
          <w:lang w:val="en-US" w:eastAsia="zh-CN"/>
        </w:rPr>
        <w:t>X</w:t>
      </w:r>
      <w:r w:rsidR="006F058B" w:rsidRPr="006F058B">
        <w:rPr>
          <w:noProof/>
          <w:vertAlign w:val="subscript"/>
          <w:lang w:val="en-US" w:eastAsia="zh-CN"/>
        </w:rPr>
        <w:t>dB</w:t>
      </w:r>
      <w:r w:rsidRPr="004B790E">
        <w:rPr>
          <w:lang w:val="en-US" w:eastAsia="zh-CN"/>
        </w:rPr>
        <w:t xml:space="preserve"> could be </w:t>
      </w:r>
      <w:r w:rsidR="003B001B">
        <w:rPr>
          <w:lang w:val="en-US" w:eastAsia="zh-CN"/>
        </w:rPr>
        <w:t xml:space="preserve">a backoff </w:t>
      </w:r>
      <w:r w:rsidRPr="004B790E">
        <w:rPr>
          <w:lang w:val="en-US" w:eastAsia="zh-CN"/>
        </w:rPr>
        <w:t xml:space="preserve">as determined by </w:t>
      </w:r>
      <w:r w:rsidRPr="004B790E">
        <w:rPr>
          <w:noProof/>
          <w:lang w:val="en-US" w:eastAsia="zh-CN"/>
        </w:rPr>
        <w:t>gNB</w:t>
      </w:r>
      <w:r w:rsidR="003B001B">
        <w:rPr>
          <w:lang w:val="en-US" w:eastAsia="zh-CN"/>
        </w:rPr>
        <w:t xml:space="preserve"> supporting </w:t>
      </w:r>
      <w:r w:rsidR="00B837FE">
        <w:rPr>
          <w:lang w:val="en-US" w:eastAsia="zh-CN"/>
        </w:rPr>
        <w:t>SBFD.</w:t>
      </w:r>
    </w:p>
    <w:p w14:paraId="72CC564E" w14:textId="77777777" w:rsidR="00B837FE" w:rsidRDefault="00B837FE" w:rsidP="003D404D">
      <w:pPr>
        <w:rPr>
          <w:lang w:val="en-US" w:eastAsia="zh-CN"/>
        </w:rPr>
      </w:pPr>
    </w:p>
    <w:p w14:paraId="491127EA" w14:textId="77777777" w:rsidR="004D49CB" w:rsidRDefault="00B837FE" w:rsidP="003D404D">
      <w:pPr>
        <w:rPr>
          <w:lang w:val="en-US" w:eastAsia="zh-CN"/>
        </w:rPr>
      </w:pPr>
      <w:r>
        <w:rPr>
          <w:lang w:val="en-US" w:eastAsia="zh-CN"/>
        </w:rPr>
        <w:t>Limiting the UE transmit power during SBFD symbols/slots will help in mitigating UE-to-UE CLI in the adjacent legacy TDD networks.</w:t>
      </w:r>
      <w:r w:rsidR="006F058B">
        <w:rPr>
          <w:lang w:val="en-US" w:eastAsia="zh-CN"/>
        </w:rPr>
        <w:t xml:space="preserve"> It will also save the SBFD system in unsuccessful retransmissions of screaming UEs at cell edge which cannot benefit from SBFD anyway.</w:t>
      </w:r>
      <w:r w:rsidR="00A751BD">
        <w:rPr>
          <w:lang w:val="en-US" w:eastAsia="zh-CN"/>
        </w:rPr>
        <w:t xml:space="preserve"> The </w:t>
      </w:r>
      <w:r w:rsidR="00A751BD">
        <w:rPr>
          <w:noProof/>
          <w:lang w:val="en-US" w:eastAsia="zh-CN"/>
        </w:rPr>
        <w:t>gNB</w:t>
      </w:r>
      <w:r w:rsidR="00A751BD">
        <w:rPr>
          <w:lang w:val="en-US" w:eastAsia="zh-CN"/>
        </w:rPr>
        <w:t xml:space="preserve"> will have full cell range for TDD symbols, and smaller range for SBFD symbols.</w:t>
      </w:r>
      <w:r w:rsidR="007A67B8">
        <w:rPr>
          <w:lang w:val="en-US" w:eastAsia="zh-CN"/>
        </w:rPr>
        <w:t xml:space="preserve"> </w:t>
      </w:r>
    </w:p>
    <w:p w14:paraId="386904F4" w14:textId="77777777" w:rsidR="004D49CB" w:rsidRDefault="004D49CB" w:rsidP="003D404D">
      <w:pPr>
        <w:rPr>
          <w:lang w:val="en-US" w:eastAsia="zh-CN"/>
        </w:rPr>
      </w:pPr>
    </w:p>
    <w:p w14:paraId="42585636" w14:textId="7B13C36E" w:rsidR="00B837FE" w:rsidRDefault="007A67B8" w:rsidP="003D404D">
      <w:pPr>
        <w:rPr>
          <w:lang w:val="en-US" w:eastAsia="zh-CN"/>
        </w:rPr>
      </w:pPr>
      <w:r>
        <w:rPr>
          <w:lang w:val="en-US" w:eastAsia="zh-CN"/>
        </w:rPr>
        <w:t xml:space="preserve">The SBFD operator may set </w:t>
      </w:r>
      <w:r w:rsidRPr="004B790E">
        <w:rPr>
          <w:noProof/>
          <w:lang w:val="en-US" w:eastAsia="zh-CN"/>
        </w:rPr>
        <w:t>X</w:t>
      </w:r>
      <w:r w:rsidRPr="006F058B">
        <w:rPr>
          <w:noProof/>
          <w:vertAlign w:val="subscript"/>
          <w:lang w:val="en-US" w:eastAsia="zh-CN"/>
        </w:rPr>
        <w:t>dB</w:t>
      </w:r>
      <w:r w:rsidRPr="004B790E">
        <w:rPr>
          <w:lang w:val="en-US" w:eastAsia="zh-CN"/>
        </w:rPr>
        <w:t xml:space="preserve"> </w:t>
      </w:r>
      <w:r>
        <w:rPr>
          <w:lang w:val="en-US" w:eastAsia="zh-CN"/>
        </w:rPr>
        <w:t xml:space="preserve">= 0 to </w:t>
      </w:r>
      <w:r w:rsidR="004D49CB">
        <w:rPr>
          <w:lang w:val="en-US" w:eastAsia="zh-CN"/>
        </w:rPr>
        <w:t>completely turn off</w:t>
      </w:r>
      <w:r>
        <w:rPr>
          <w:lang w:val="en-US" w:eastAsia="zh-CN"/>
        </w:rPr>
        <w:t xml:space="preserve"> this </w:t>
      </w:r>
      <w:r w:rsidR="00363750">
        <w:rPr>
          <w:lang w:val="en-US" w:eastAsia="zh-CN"/>
        </w:rPr>
        <w:t>proposal</w:t>
      </w:r>
      <w:r>
        <w:rPr>
          <w:lang w:val="en-US" w:eastAsia="zh-CN"/>
        </w:rPr>
        <w:t>.</w:t>
      </w:r>
      <w:r w:rsidR="004D49CB">
        <w:rPr>
          <w:lang w:val="en-US" w:eastAsia="zh-CN"/>
        </w:rPr>
        <w:t xml:space="preserve"> Alternatively, the operator may set </w:t>
      </w:r>
      <w:r w:rsidR="004D49CB" w:rsidRPr="004B790E">
        <w:rPr>
          <w:noProof/>
          <w:lang w:val="en-US" w:eastAsia="zh-CN"/>
        </w:rPr>
        <w:t>X</w:t>
      </w:r>
      <w:r w:rsidR="004D49CB" w:rsidRPr="006F058B">
        <w:rPr>
          <w:noProof/>
          <w:vertAlign w:val="subscript"/>
          <w:lang w:val="en-US" w:eastAsia="zh-CN"/>
        </w:rPr>
        <w:t>dB</w:t>
      </w:r>
      <w:r w:rsidR="004D49CB" w:rsidRPr="004B790E">
        <w:rPr>
          <w:lang w:val="en-US" w:eastAsia="zh-CN"/>
        </w:rPr>
        <w:t xml:space="preserve"> </w:t>
      </w:r>
      <w:r w:rsidR="004D49CB">
        <w:rPr>
          <w:lang w:val="en-US" w:eastAsia="zh-CN"/>
        </w:rPr>
        <w:t xml:space="preserve">to a value that will turn off only 5% </w:t>
      </w:r>
      <w:r w:rsidR="003451FD">
        <w:rPr>
          <w:lang w:val="en-US" w:eastAsia="zh-CN"/>
        </w:rPr>
        <w:t xml:space="preserve">or 10% </w:t>
      </w:r>
      <w:r w:rsidR="004D49CB">
        <w:rPr>
          <w:lang w:val="en-US" w:eastAsia="zh-CN"/>
        </w:rPr>
        <w:t xml:space="preserve">of the SBFD UE population by using </w:t>
      </w:r>
      <w:r w:rsidR="003451FD">
        <w:rPr>
          <w:lang w:val="en-US" w:eastAsia="zh-CN"/>
        </w:rPr>
        <w:t>a</w:t>
      </w:r>
      <w:r w:rsidR="004D49CB">
        <w:rPr>
          <w:lang w:val="en-US" w:eastAsia="zh-CN"/>
        </w:rPr>
        <w:t xml:space="preserve"> dynamic algorithm </w:t>
      </w:r>
      <w:r w:rsidR="003451FD">
        <w:rPr>
          <w:lang w:val="en-US" w:eastAsia="zh-CN"/>
        </w:rPr>
        <w:t xml:space="preserve">which is based on Tx power headroom reports from the UEs, as we propose </w:t>
      </w:r>
      <w:r w:rsidR="004D49CB">
        <w:rPr>
          <w:lang w:val="en-US" w:eastAsia="zh-CN"/>
        </w:rPr>
        <w:t>at the end of this TDOC</w:t>
      </w:r>
      <w:r w:rsidR="003451FD">
        <w:rPr>
          <w:lang w:val="en-US" w:eastAsia="zh-CN"/>
        </w:rPr>
        <w:t>.</w:t>
      </w:r>
      <w:r w:rsidR="004D49CB">
        <w:rPr>
          <w:lang w:val="en-US" w:eastAsia="zh-CN"/>
        </w:rPr>
        <w:t xml:space="preserve"> </w:t>
      </w:r>
    </w:p>
    <w:p w14:paraId="7BAA562C" w14:textId="77777777" w:rsidR="003B001B" w:rsidRDefault="003B001B" w:rsidP="003D404D">
      <w:pPr>
        <w:rPr>
          <w:lang w:val="en-US" w:eastAsia="zh-CN"/>
        </w:rPr>
      </w:pPr>
    </w:p>
    <w:p w14:paraId="0E05CD87" w14:textId="6E4FC6CD" w:rsidR="003D404D" w:rsidRPr="00993045" w:rsidRDefault="003D404D" w:rsidP="003D404D">
      <w:pPr>
        <w:rPr>
          <w:b/>
          <w:bCs/>
          <w:i/>
          <w:iCs/>
          <w:lang w:val="en-US" w:eastAsia="zh-CN"/>
        </w:rPr>
      </w:pPr>
      <w:r w:rsidRPr="00993045">
        <w:rPr>
          <w:b/>
          <w:bCs/>
          <w:i/>
          <w:iCs/>
          <w:lang w:val="en-US" w:eastAsia="zh-CN"/>
        </w:rPr>
        <w:t xml:space="preserve">Proposal </w:t>
      </w:r>
      <w:r w:rsidR="00B837FE" w:rsidRPr="00993045">
        <w:rPr>
          <w:b/>
          <w:bCs/>
          <w:i/>
          <w:iCs/>
          <w:lang w:val="en-US" w:eastAsia="zh-CN"/>
        </w:rPr>
        <w:t>1</w:t>
      </w:r>
      <w:r w:rsidRPr="00993045">
        <w:rPr>
          <w:b/>
          <w:bCs/>
          <w:i/>
          <w:iCs/>
          <w:lang w:val="en-US" w:eastAsia="zh-CN"/>
        </w:rPr>
        <w:t xml:space="preserve">: </w:t>
      </w:r>
      <w:r w:rsidR="00E750B3">
        <w:rPr>
          <w:b/>
          <w:bCs/>
          <w:i/>
          <w:iCs/>
          <w:lang w:val="en-US" w:eastAsia="zh-CN"/>
        </w:rPr>
        <w:t>A</w:t>
      </w:r>
      <w:r w:rsidR="00E750B3" w:rsidRPr="00E750B3">
        <w:rPr>
          <w:b/>
          <w:bCs/>
          <w:i/>
          <w:iCs/>
          <w:lang w:val="en-US" w:eastAsia="zh-CN"/>
        </w:rPr>
        <w:t xml:space="preserve"> single operator owning both networks</w:t>
      </w:r>
      <w:r w:rsidR="00E750B3">
        <w:rPr>
          <w:b/>
          <w:bCs/>
          <w:i/>
          <w:iCs/>
          <w:lang w:val="en-US" w:eastAsia="zh-CN"/>
        </w:rPr>
        <w:t xml:space="preserve">, SBFD and legacy TDD, </w:t>
      </w:r>
      <w:r w:rsidR="00E750B3" w:rsidRPr="00E750B3">
        <w:rPr>
          <w:b/>
          <w:bCs/>
          <w:i/>
          <w:iCs/>
          <w:lang w:val="en-US" w:eastAsia="zh-CN"/>
        </w:rPr>
        <w:t>could mitigate UE-to-UE CLI, by using DUD (40%, 20%, 40%), and by reducing P</w:t>
      </w:r>
      <w:r w:rsidR="00E750B3" w:rsidRPr="00E750B3">
        <w:rPr>
          <w:b/>
          <w:bCs/>
          <w:i/>
          <w:iCs/>
          <w:vertAlign w:val="subscript"/>
          <w:lang w:val="en-US" w:eastAsia="zh-CN"/>
        </w:rPr>
        <w:t>CMAX</w:t>
      </w:r>
      <w:r w:rsidR="00E750B3" w:rsidRPr="00E750B3">
        <w:rPr>
          <w:b/>
          <w:bCs/>
          <w:i/>
          <w:iCs/>
          <w:lang w:val="en-US" w:eastAsia="zh-CN"/>
        </w:rPr>
        <w:t xml:space="preserve"> of the SBFD UE </w:t>
      </w:r>
      <w:r w:rsidR="00E750B3">
        <w:rPr>
          <w:b/>
          <w:bCs/>
          <w:i/>
          <w:iCs/>
          <w:lang w:val="en-US" w:eastAsia="zh-CN"/>
        </w:rPr>
        <w:t xml:space="preserve">power </w:t>
      </w:r>
      <w:r w:rsidR="00E750B3" w:rsidRPr="00E750B3">
        <w:rPr>
          <w:b/>
          <w:bCs/>
          <w:i/>
          <w:iCs/>
          <w:lang w:val="en-US" w:eastAsia="zh-CN"/>
        </w:rPr>
        <w:t xml:space="preserve">by </w:t>
      </w:r>
      <w:r w:rsidR="00E750B3" w:rsidRPr="00E750B3">
        <w:rPr>
          <w:b/>
          <w:bCs/>
          <w:i/>
          <w:iCs/>
          <w:noProof/>
          <w:lang w:val="en-US" w:eastAsia="zh-CN"/>
        </w:rPr>
        <w:t>X</w:t>
      </w:r>
      <w:r w:rsidR="00E750B3" w:rsidRPr="00E750B3">
        <w:rPr>
          <w:b/>
          <w:bCs/>
          <w:i/>
          <w:iCs/>
          <w:noProof/>
          <w:vertAlign w:val="subscript"/>
          <w:lang w:val="en-US" w:eastAsia="zh-CN"/>
        </w:rPr>
        <w:t>dB</w:t>
      </w:r>
      <w:r w:rsidR="00E750B3" w:rsidRPr="00E750B3">
        <w:rPr>
          <w:b/>
          <w:bCs/>
          <w:i/>
          <w:iCs/>
          <w:lang w:val="en-US" w:eastAsia="zh-CN"/>
        </w:rPr>
        <w:t>.</w:t>
      </w:r>
      <w:r w:rsidR="009D431E">
        <w:rPr>
          <w:b/>
          <w:bCs/>
          <w:i/>
          <w:iCs/>
          <w:lang w:val="en-US" w:eastAsia="zh-CN"/>
        </w:rPr>
        <w:t xml:space="preserve"> </w:t>
      </w:r>
    </w:p>
    <w:p w14:paraId="779FA1C6" w14:textId="77777777" w:rsidR="00B837FE" w:rsidRDefault="00B837FE" w:rsidP="003D404D">
      <w:pPr>
        <w:rPr>
          <w:i/>
          <w:iCs/>
          <w:lang w:val="en-US" w:eastAsia="zh-CN"/>
        </w:rPr>
      </w:pPr>
    </w:p>
    <w:p w14:paraId="613CCF9D" w14:textId="058AA747" w:rsidR="00E750B3" w:rsidRDefault="00E750B3">
      <w:pPr>
        <w:overflowPunct/>
        <w:autoSpaceDE/>
        <w:autoSpaceDN/>
        <w:adjustRightInd/>
        <w:textAlignment w:val="auto"/>
        <w:rPr>
          <w:lang w:val="en-US" w:eastAsia="zh-CN"/>
        </w:rPr>
      </w:pPr>
      <w:r>
        <w:rPr>
          <w:lang w:val="en-US" w:eastAsia="zh-CN"/>
        </w:rPr>
        <w:br w:type="page"/>
      </w:r>
    </w:p>
    <w:p w14:paraId="33400B90" w14:textId="77777777" w:rsidR="006E415A" w:rsidRDefault="006E415A" w:rsidP="003D404D">
      <w:pPr>
        <w:rPr>
          <w:lang w:val="en-US" w:eastAsia="zh-CN"/>
        </w:rPr>
      </w:pPr>
    </w:p>
    <w:p w14:paraId="071EA4CC" w14:textId="447CE719" w:rsidR="00DE1E30" w:rsidRDefault="00DE1E30" w:rsidP="00DE1E30">
      <w:pPr>
        <w:pStyle w:val="Heading1"/>
      </w:pPr>
      <w:r>
        <w:t>Conclusions</w:t>
      </w:r>
    </w:p>
    <w:p w14:paraId="7B685766" w14:textId="270E18FB" w:rsidR="00DE1E30" w:rsidRDefault="00AB73CA" w:rsidP="00DE1E30">
      <w:r>
        <w:t xml:space="preserve">Based on the discussion </w:t>
      </w:r>
      <w:r w:rsidR="00D76EC9">
        <w:t>above</w:t>
      </w:r>
      <w:r>
        <w:t xml:space="preserve"> we propose the following:</w:t>
      </w:r>
    </w:p>
    <w:p w14:paraId="49A1D37E" w14:textId="77777777" w:rsidR="0030793C" w:rsidRDefault="0030793C" w:rsidP="00DE1E30"/>
    <w:p w14:paraId="5FC02BA4" w14:textId="2C2FBD15" w:rsidR="00C32F8F" w:rsidRDefault="005A4B5C" w:rsidP="00E750B3">
      <w:pPr>
        <w:rPr>
          <w:b/>
          <w:bCs/>
          <w:lang w:val="en-US" w:eastAsia="zh-CN"/>
        </w:rPr>
      </w:pPr>
      <w:r w:rsidRPr="00993045">
        <w:rPr>
          <w:b/>
          <w:bCs/>
          <w:i/>
          <w:iCs/>
          <w:lang w:val="en-US" w:eastAsia="zh-CN"/>
        </w:rPr>
        <w:t xml:space="preserve">Proposal 1: </w:t>
      </w:r>
      <w:r w:rsidR="00E750B3">
        <w:rPr>
          <w:b/>
          <w:bCs/>
          <w:i/>
          <w:iCs/>
          <w:lang w:val="en-US" w:eastAsia="zh-CN"/>
        </w:rPr>
        <w:t>A</w:t>
      </w:r>
      <w:r w:rsidR="00E750B3" w:rsidRPr="00E750B3">
        <w:rPr>
          <w:b/>
          <w:bCs/>
          <w:i/>
          <w:iCs/>
          <w:lang w:val="en-US" w:eastAsia="zh-CN"/>
        </w:rPr>
        <w:t xml:space="preserve"> single operator owning both networks</w:t>
      </w:r>
      <w:r w:rsidR="00E750B3">
        <w:rPr>
          <w:b/>
          <w:bCs/>
          <w:i/>
          <w:iCs/>
          <w:lang w:val="en-US" w:eastAsia="zh-CN"/>
        </w:rPr>
        <w:t xml:space="preserve">, SBFD and legacy TDD, </w:t>
      </w:r>
      <w:r w:rsidR="00E750B3" w:rsidRPr="00E750B3">
        <w:rPr>
          <w:b/>
          <w:bCs/>
          <w:i/>
          <w:iCs/>
          <w:lang w:val="en-US" w:eastAsia="zh-CN"/>
        </w:rPr>
        <w:t>could mitigate UE-to-UE CLI, by using DUD (40%, 20%, 40%), and by reducing P</w:t>
      </w:r>
      <w:r w:rsidR="00E750B3" w:rsidRPr="00E750B3">
        <w:rPr>
          <w:b/>
          <w:bCs/>
          <w:i/>
          <w:iCs/>
          <w:vertAlign w:val="subscript"/>
          <w:lang w:val="en-US" w:eastAsia="zh-CN"/>
        </w:rPr>
        <w:t>CMAX</w:t>
      </w:r>
      <w:r w:rsidR="00E750B3" w:rsidRPr="00E750B3">
        <w:rPr>
          <w:b/>
          <w:bCs/>
          <w:i/>
          <w:iCs/>
          <w:lang w:val="en-US" w:eastAsia="zh-CN"/>
        </w:rPr>
        <w:t xml:space="preserve"> of the SBFD UE </w:t>
      </w:r>
      <w:r w:rsidR="00E750B3">
        <w:rPr>
          <w:b/>
          <w:bCs/>
          <w:i/>
          <w:iCs/>
          <w:lang w:val="en-US" w:eastAsia="zh-CN"/>
        </w:rPr>
        <w:t xml:space="preserve">power </w:t>
      </w:r>
      <w:r w:rsidR="00E750B3" w:rsidRPr="00E750B3">
        <w:rPr>
          <w:b/>
          <w:bCs/>
          <w:i/>
          <w:iCs/>
          <w:lang w:val="en-US" w:eastAsia="zh-CN"/>
        </w:rPr>
        <w:t xml:space="preserve">by </w:t>
      </w:r>
      <w:r w:rsidR="00E750B3" w:rsidRPr="00E750B3">
        <w:rPr>
          <w:b/>
          <w:bCs/>
          <w:i/>
          <w:iCs/>
          <w:noProof/>
          <w:lang w:val="en-US" w:eastAsia="zh-CN"/>
        </w:rPr>
        <w:t>X</w:t>
      </w:r>
      <w:r w:rsidR="00E750B3" w:rsidRPr="00E750B3">
        <w:rPr>
          <w:b/>
          <w:bCs/>
          <w:i/>
          <w:iCs/>
          <w:noProof/>
          <w:vertAlign w:val="subscript"/>
          <w:lang w:val="en-US" w:eastAsia="zh-CN"/>
        </w:rPr>
        <w:t>dB</w:t>
      </w:r>
      <w:r w:rsidR="00E750B3" w:rsidRPr="00E750B3">
        <w:rPr>
          <w:b/>
          <w:bCs/>
          <w:i/>
          <w:iCs/>
          <w:lang w:val="en-US" w:eastAsia="zh-CN"/>
        </w:rPr>
        <w:t>.</w:t>
      </w:r>
    </w:p>
    <w:p w14:paraId="6CEDE3BB" w14:textId="77777777" w:rsidR="00DE1E30" w:rsidRPr="00B4490E" w:rsidRDefault="00DE1E30" w:rsidP="00DE1E30">
      <w:pPr>
        <w:rPr>
          <w:lang w:val="en-US" w:eastAsia="zh-CN"/>
        </w:rPr>
      </w:pPr>
    </w:p>
    <w:p w14:paraId="7D466A8D" w14:textId="3267575E" w:rsidR="00DE1E30" w:rsidRDefault="00DE1E30" w:rsidP="00DE1E30">
      <w:pPr>
        <w:pStyle w:val="Heading1"/>
      </w:pPr>
      <w:r>
        <w:t>Reference</w:t>
      </w:r>
    </w:p>
    <w:p w14:paraId="1172998A" w14:textId="6FEC8D23" w:rsidR="00DE1E30" w:rsidRDefault="00DE1E30" w:rsidP="00DE1E30">
      <w:pPr>
        <w:pStyle w:val="Bibliography"/>
      </w:pPr>
      <w:r w:rsidRPr="00347605">
        <w:t>[</w:t>
      </w:r>
      <w:r>
        <w:t>1</w:t>
      </w:r>
      <w:r w:rsidRPr="00347605">
        <w:t xml:space="preserve">] </w:t>
      </w:r>
      <w:r w:rsidR="00147013">
        <w:t xml:space="preserve">3GPP TR </w:t>
      </w:r>
      <w:r w:rsidRPr="00347605">
        <w:t>38.858, “Study on Evolution of NR Duplex Operation”</w:t>
      </w:r>
    </w:p>
    <w:p w14:paraId="3A62548D" w14:textId="3EAE01C4" w:rsidR="00147013" w:rsidRDefault="00147013" w:rsidP="00147013">
      <w:r w:rsidRPr="006F5560">
        <w:t>[</w:t>
      </w:r>
      <w:r>
        <w:t>2</w:t>
      </w:r>
      <w:r w:rsidRPr="006F5560">
        <w:t>] RP-24</w:t>
      </w:r>
      <w:r>
        <w:t>2772</w:t>
      </w:r>
      <w:r w:rsidRPr="006F5560">
        <w:t xml:space="preserve"> Revised WID - Evolution of NR duplex operation Sub-band full duplex (SBFD)</w:t>
      </w:r>
    </w:p>
    <w:p w14:paraId="56DBF4C7" w14:textId="2A2B7630" w:rsidR="00147013" w:rsidRDefault="00147013" w:rsidP="00147013">
      <w:r>
        <w:t>[3] 3GPP TS 38.213, “Physical Layer Procedures for Control”</w:t>
      </w:r>
    </w:p>
    <w:p w14:paraId="02E8B195" w14:textId="75F6B420" w:rsidR="004C662A" w:rsidRDefault="004C662A" w:rsidP="00147013">
      <w:r>
        <w:t>[4] 3GPP TS 38.101-1, “User Equipment (UE) radio transmission and reception: Part 1: Range 1 Standalone”</w:t>
      </w:r>
    </w:p>
    <w:p w14:paraId="0F5D0E63" w14:textId="3550B647" w:rsidR="004C662A" w:rsidRDefault="004C662A" w:rsidP="004C662A">
      <w:r>
        <w:t>[5] 3GPP TS 38.101-2, “User Equipment (UE) radio transmission and reception: Part 2: Range 2 Standalone”</w:t>
      </w:r>
    </w:p>
    <w:p w14:paraId="7BC05DC0" w14:textId="0A3388BC" w:rsidR="004C662A" w:rsidRDefault="004C662A" w:rsidP="004C662A">
      <w:r>
        <w:t>[5] 3GPP TS 38.101-3, “User Equipment (UE) radio transmission and reception: Part 3: Range 1 and Range 2 Interworking operation with other radios”</w:t>
      </w:r>
    </w:p>
    <w:p w14:paraId="36D2C168" w14:textId="76B88F06" w:rsidR="00F50C33" w:rsidRDefault="00F50C33" w:rsidP="004C662A">
      <w:r>
        <w:t xml:space="preserve">[6] Charter TDOC </w:t>
      </w:r>
      <w:r w:rsidRPr="00F50C33">
        <w:t>R4-2500474</w:t>
      </w:r>
    </w:p>
    <w:p w14:paraId="123ACFE4" w14:textId="7FFDA49B" w:rsidR="004C662A" w:rsidRPr="00147013" w:rsidRDefault="004C662A" w:rsidP="00147013"/>
    <w:p w14:paraId="0124823B" w14:textId="2AE0CB7D" w:rsidR="00DE1E30" w:rsidRPr="00347605" w:rsidRDefault="00DE1E30" w:rsidP="00DE1E30">
      <w:pPr>
        <w:pStyle w:val="Bibliography"/>
      </w:pPr>
    </w:p>
    <w:p w14:paraId="7478EF6A" w14:textId="77777777" w:rsidR="00DE1E30" w:rsidRPr="006F09B6" w:rsidRDefault="00DE1E30" w:rsidP="00DE1E30"/>
    <w:p w14:paraId="5B08F55B" w14:textId="77777777" w:rsidR="00CD2111" w:rsidRDefault="00CD2111"/>
    <w:sectPr w:rsidR="00CD2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C2023" w14:textId="77777777" w:rsidR="006A5397" w:rsidRDefault="006A5397" w:rsidP="00F3556B">
      <w:r>
        <w:separator/>
      </w:r>
    </w:p>
  </w:endnote>
  <w:endnote w:type="continuationSeparator" w:id="0">
    <w:p w14:paraId="651A0623" w14:textId="77777777" w:rsidR="006A5397" w:rsidRDefault="006A5397" w:rsidP="00F3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A633E" w14:textId="77777777" w:rsidR="006A5397" w:rsidRDefault="006A5397" w:rsidP="00F3556B">
      <w:r>
        <w:separator/>
      </w:r>
    </w:p>
  </w:footnote>
  <w:footnote w:type="continuationSeparator" w:id="0">
    <w:p w14:paraId="60ED9584" w14:textId="77777777" w:rsidR="006A5397" w:rsidRDefault="006A5397" w:rsidP="00F35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6AF1"/>
    <w:multiLevelType w:val="hybridMultilevel"/>
    <w:tmpl w:val="DD048082"/>
    <w:lvl w:ilvl="0" w:tplc="648A9100">
      <w:numFmt w:val="bullet"/>
      <w:lvlText w:val="-"/>
      <w:lvlJc w:val="left"/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886D52"/>
    <w:multiLevelType w:val="multilevel"/>
    <w:tmpl w:val="E10ABD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812537F"/>
    <w:multiLevelType w:val="hybridMultilevel"/>
    <w:tmpl w:val="4E98B69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D3609"/>
    <w:multiLevelType w:val="hybridMultilevel"/>
    <w:tmpl w:val="8F9E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96CED"/>
    <w:multiLevelType w:val="hybridMultilevel"/>
    <w:tmpl w:val="62F6F1BC"/>
    <w:lvl w:ilvl="0" w:tplc="71961336">
      <w:start w:val="1"/>
      <w:numFmt w:val="decimal"/>
      <w:lvlText w:val="(%1)"/>
      <w:lvlJc w:val="left"/>
      <w:pPr>
        <w:ind w:left="3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8F529E"/>
    <w:multiLevelType w:val="hybridMultilevel"/>
    <w:tmpl w:val="97449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90218"/>
    <w:multiLevelType w:val="hybridMultilevel"/>
    <w:tmpl w:val="1A5ECA7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92023F"/>
    <w:multiLevelType w:val="hybridMultilevel"/>
    <w:tmpl w:val="D338C5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77143E"/>
    <w:multiLevelType w:val="hybridMultilevel"/>
    <w:tmpl w:val="6BB8D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A9B4976"/>
    <w:multiLevelType w:val="multilevel"/>
    <w:tmpl w:val="80188E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BC84259"/>
    <w:multiLevelType w:val="hybridMultilevel"/>
    <w:tmpl w:val="A0F09A30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AF42FA"/>
    <w:multiLevelType w:val="multilevel"/>
    <w:tmpl w:val="6825279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36A1CBB"/>
    <w:multiLevelType w:val="multilevel"/>
    <w:tmpl w:val="2ABE0AAA"/>
    <w:styleLink w:val="CurrentList3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21" w15:restartNumberingAfterBreak="0">
    <w:nsid w:val="33AD24BD"/>
    <w:multiLevelType w:val="hybridMultilevel"/>
    <w:tmpl w:val="210AE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91B03B9"/>
    <w:multiLevelType w:val="hybridMultilevel"/>
    <w:tmpl w:val="AE8E0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9879EF"/>
    <w:multiLevelType w:val="hybridMultilevel"/>
    <w:tmpl w:val="7CA2F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6D0BB5"/>
    <w:multiLevelType w:val="hybridMultilevel"/>
    <w:tmpl w:val="3006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016B0"/>
    <w:multiLevelType w:val="multilevel"/>
    <w:tmpl w:val="9830DD48"/>
    <w:styleLink w:val="CurrentList1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0E84440"/>
    <w:multiLevelType w:val="multilevel"/>
    <w:tmpl w:val="8D962B16"/>
    <w:styleLink w:val="CurrentList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29" w15:restartNumberingAfterBreak="0">
    <w:nsid w:val="41285F2D"/>
    <w:multiLevelType w:val="hybridMultilevel"/>
    <w:tmpl w:val="3D9A8C8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6D81322"/>
    <w:multiLevelType w:val="multilevel"/>
    <w:tmpl w:val="6FD6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4" w15:restartNumberingAfterBreak="0">
    <w:nsid w:val="5E843BE4"/>
    <w:multiLevelType w:val="hybridMultilevel"/>
    <w:tmpl w:val="B476A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2563DB8"/>
    <w:multiLevelType w:val="multilevel"/>
    <w:tmpl w:val="F1F4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F7FEB"/>
    <w:multiLevelType w:val="hybridMultilevel"/>
    <w:tmpl w:val="78665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22644D"/>
    <w:multiLevelType w:val="hybridMultilevel"/>
    <w:tmpl w:val="79D2D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7721478"/>
    <w:multiLevelType w:val="multilevel"/>
    <w:tmpl w:val="77721478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97" w:firstLine="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91" w:firstLine="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046162"/>
    <w:multiLevelType w:val="hybridMultilevel"/>
    <w:tmpl w:val="4D3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823CD"/>
    <w:multiLevelType w:val="hybridMultilevel"/>
    <w:tmpl w:val="3B9E9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64989">
    <w:abstractNumId w:val="15"/>
  </w:num>
  <w:num w:numId="2" w16cid:durableId="354816227">
    <w:abstractNumId w:val="6"/>
  </w:num>
  <w:num w:numId="3" w16cid:durableId="1266110725">
    <w:abstractNumId w:val="38"/>
  </w:num>
  <w:num w:numId="4" w16cid:durableId="487669452">
    <w:abstractNumId w:val="22"/>
  </w:num>
  <w:num w:numId="5" w16cid:durableId="1039622259">
    <w:abstractNumId w:val="1"/>
  </w:num>
  <w:num w:numId="6" w16cid:durableId="933590211">
    <w:abstractNumId w:val="10"/>
  </w:num>
  <w:num w:numId="7" w16cid:durableId="662969946">
    <w:abstractNumId w:val="14"/>
  </w:num>
  <w:num w:numId="8" w16cid:durableId="552549225">
    <w:abstractNumId w:val="33"/>
  </w:num>
  <w:num w:numId="9" w16cid:durableId="1944802588">
    <w:abstractNumId w:val="30"/>
  </w:num>
  <w:num w:numId="10" w16cid:durableId="194006248">
    <w:abstractNumId w:val="19"/>
  </w:num>
  <w:num w:numId="11" w16cid:durableId="656999968">
    <w:abstractNumId w:val="35"/>
  </w:num>
  <w:num w:numId="12" w16cid:durableId="1249315736">
    <w:abstractNumId w:val="17"/>
  </w:num>
  <w:num w:numId="13" w16cid:durableId="1065490841">
    <w:abstractNumId w:val="3"/>
  </w:num>
  <w:num w:numId="14" w16cid:durableId="1109397278">
    <w:abstractNumId w:val="9"/>
  </w:num>
  <w:num w:numId="15" w16cid:durableId="555170132">
    <w:abstractNumId w:val="16"/>
  </w:num>
  <w:num w:numId="16" w16cid:durableId="1174346686">
    <w:abstractNumId w:val="42"/>
  </w:num>
  <w:num w:numId="17" w16cid:durableId="1999722214">
    <w:abstractNumId w:val="23"/>
  </w:num>
  <w:num w:numId="18" w16cid:durableId="537595714">
    <w:abstractNumId w:val="41"/>
  </w:num>
  <w:num w:numId="19" w16cid:durableId="2125608134">
    <w:abstractNumId w:val="0"/>
  </w:num>
  <w:num w:numId="20" w16cid:durableId="260728417">
    <w:abstractNumId w:val="25"/>
  </w:num>
  <w:num w:numId="21" w16cid:durableId="966667664">
    <w:abstractNumId w:val="36"/>
  </w:num>
  <w:num w:numId="22" w16cid:durableId="746727041">
    <w:abstractNumId w:val="31"/>
  </w:num>
  <w:num w:numId="23" w16cid:durableId="691342303">
    <w:abstractNumId w:val="11"/>
  </w:num>
  <w:num w:numId="24" w16cid:durableId="856500517">
    <w:abstractNumId w:val="8"/>
  </w:num>
  <w:num w:numId="25" w16cid:durableId="1837843793">
    <w:abstractNumId w:val="40"/>
  </w:num>
  <w:num w:numId="26" w16cid:durableId="2003583968">
    <w:abstractNumId w:val="21"/>
  </w:num>
  <w:num w:numId="27" w16cid:durableId="944000777">
    <w:abstractNumId w:val="4"/>
  </w:num>
  <w:num w:numId="28" w16cid:durableId="653460814">
    <w:abstractNumId w:val="13"/>
  </w:num>
  <w:num w:numId="29" w16cid:durableId="240528285">
    <w:abstractNumId w:val="12"/>
  </w:num>
  <w:num w:numId="30" w16cid:durableId="1068040806">
    <w:abstractNumId w:val="24"/>
  </w:num>
  <w:num w:numId="31" w16cid:durableId="1363705609">
    <w:abstractNumId w:val="7"/>
  </w:num>
  <w:num w:numId="32" w16cid:durableId="1065029152">
    <w:abstractNumId w:val="26"/>
  </w:num>
  <w:num w:numId="33" w16cid:durableId="243734154">
    <w:abstractNumId w:val="39"/>
  </w:num>
  <w:num w:numId="34" w16cid:durableId="504901709">
    <w:abstractNumId w:val="32"/>
  </w:num>
  <w:num w:numId="35" w16cid:durableId="624124039">
    <w:abstractNumId w:val="34"/>
  </w:num>
  <w:num w:numId="36" w16cid:durableId="2101640349">
    <w:abstractNumId w:val="43"/>
  </w:num>
  <w:num w:numId="37" w16cid:durableId="1962493267">
    <w:abstractNumId w:val="15"/>
  </w:num>
  <w:num w:numId="38" w16cid:durableId="544829565">
    <w:abstractNumId w:val="29"/>
  </w:num>
  <w:num w:numId="39" w16cid:durableId="1813978610">
    <w:abstractNumId w:val="18"/>
  </w:num>
  <w:num w:numId="40" w16cid:durableId="119345910">
    <w:abstractNumId w:val="37"/>
  </w:num>
  <w:num w:numId="41" w16cid:durableId="938172089">
    <w:abstractNumId w:val="5"/>
  </w:num>
  <w:num w:numId="42" w16cid:durableId="2143184386">
    <w:abstractNumId w:val="44"/>
  </w:num>
  <w:num w:numId="43" w16cid:durableId="437021155">
    <w:abstractNumId w:val="15"/>
  </w:num>
  <w:num w:numId="44" w16cid:durableId="79521810">
    <w:abstractNumId w:val="27"/>
  </w:num>
  <w:num w:numId="45" w16cid:durableId="922762236">
    <w:abstractNumId w:val="2"/>
  </w:num>
  <w:num w:numId="46" w16cid:durableId="262033029">
    <w:abstractNumId w:val="28"/>
  </w:num>
  <w:num w:numId="47" w16cid:durableId="201426167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00BA9"/>
    <w:rsid w:val="0001326B"/>
    <w:rsid w:val="00017BFC"/>
    <w:rsid w:val="0002098E"/>
    <w:rsid w:val="00023C36"/>
    <w:rsid w:val="00025717"/>
    <w:rsid w:val="00025940"/>
    <w:rsid w:val="00026E8E"/>
    <w:rsid w:val="000322BE"/>
    <w:rsid w:val="00035720"/>
    <w:rsid w:val="0003655F"/>
    <w:rsid w:val="00041173"/>
    <w:rsid w:val="00043F37"/>
    <w:rsid w:val="00047540"/>
    <w:rsid w:val="00050014"/>
    <w:rsid w:val="00053533"/>
    <w:rsid w:val="000609AB"/>
    <w:rsid w:val="00060E41"/>
    <w:rsid w:val="00061C9E"/>
    <w:rsid w:val="00063C54"/>
    <w:rsid w:val="00073C95"/>
    <w:rsid w:val="000771EC"/>
    <w:rsid w:val="00081613"/>
    <w:rsid w:val="00081FEC"/>
    <w:rsid w:val="00090C67"/>
    <w:rsid w:val="000A41FE"/>
    <w:rsid w:val="000A7612"/>
    <w:rsid w:val="000B58B8"/>
    <w:rsid w:val="000C5C3B"/>
    <w:rsid w:val="000D0C8C"/>
    <w:rsid w:val="000D2E79"/>
    <w:rsid w:val="000D47E5"/>
    <w:rsid w:val="000E1C4D"/>
    <w:rsid w:val="000E51FD"/>
    <w:rsid w:val="000F0DD7"/>
    <w:rsid w:val="000F4BDC"/>
    <w:rsid w:val="000F7830"/>
    <w:rsid w:val="000F7D80"/>
    <w:rsid w:val="00104424"/>
    <w:rsid w:val="001071DB"/>
    <w:rsid w:val="001114B3"/>
    <w:rsid w:val="00117B36"/>
    <w:rsid w:val="0012628D"/>
    <w:rsid w:val="00137B30"/>
    <w:rsid w:val="0014387E"/>
    <w:rsid w:val="00147013"/>
    <w:rsid w:val="001541DC"/>
    <w:rsid w:val="001634FE"/>
    <w:rsid w:val="00170ECF"/>
    <w:rsid w:val="00173BC4"/>
    <w:rsid w:val="00174F98"/>
    <w:rsid w:val="001750CA"/>
    <w:rsid w:val="001753D9"/>
    <w:rsid w:val="001767C6"/>
    <w:rsid w:val="00184237"/>
    <w:rsid w:val="0018562C"/>
    <w:rsid w:val="0018689E"/>
    <w:rsid w:val="001946E0"/>
    <w:rsid w:val="001B1BBD"/>
    <w:rsid w:val="001B64E0"/>
    <w:rsid w:val="001C115A"/>
    <w:rsid w:val="001C1BC1"/>
    <w:rsid w:val="001D4E5A"/>
    <w:rsid w:val="001D5B0F"/>
    <w:rsid w:val="001D5BFC"/>
    <w:rsid w:val="001D7478"/>
    <w:rsid w:val="001E19C5"/>
    <w:rsid w:val="001E793C"/>
    <w:rsid w:val="001F0E36"/>
    <w:rsid w:val="001F4B6D"/>
    <w:rsid w:val="001F548E"/>
    <w:rsid w:val="001F7389"/>
    <w:rsid w:val="002042FE"/>
    <w:rsid w:val="00210661"/>
    <w:rsid w:val="0021276C"/>
    <w:rsid w:val="0021671C"/>
    <w:rsid w:val="00220559"/>
    <w:rsid w:val="0022064F"/>
    <w:rsid w:val="002259B5"/>
    <w:rsid w:val="00231A1E"/>
    <w:rsid w:val="0023359F"/>
    <w:rsid w:val="00234DBB"/>
    <w:rsid w:val="00237611"/>
    <w:rsid w:val="00237C56"/>
    <w:rsid w:val="00241310"/>
    <w:rsid w:val="00242AFD"/>
    <w:rsid w:val="002431E5"/>
    <w:rsid w:val="00250898"/>
    <w:rsid w:val="002523CE"/>
    <w:rsid w:val="00255B8E"/>
    <w:rsid w:val="002573AB"/>
    <w:rsid w:val="00260E6E"/>
    <w:rsid w:val="0026128B"/>
    <w:rsid w:val="002662FF"/>
    <w:rsid w:val="00270449"/>
    <w:rsid w:val="00271738"/>
    <w:rsid w:val="00273138"/>
    <w:rsid w:val="002744CF"/>
    <w:rsid w:val="002774EC"/>
    <w:rsid w:val="00280CFB"/>
    <w:rsid w:val="00285267"/>
    <w:rsid w:val="00285AE5"/>
    <w:rsid w:val="00285EF3"/>
    <w:rsid w:val="00286115"/>
    <w:rsid w:val="00286D17"/>
    <w:rsid w:val="00287AB4"/>
    <w:rsid w:val="00293C78"/>
    <w:rsid w:val="002A067E"/>
    <w:rsid w:val="002A07BB"/>
    <w:rsid w:val="002A4656"/>
    <w:rsid w:val="002C5211"/>
    <w:rsid w:val="002C57D3"/>
    <w:rsid w:val="002C5D1C"/>
    <w:rsid w:val="002D4080"/>
    <w:rsid w:val="002E3883"/>
    <w:rsid w:val="002E5627"/>
    <w:rsid w:val="002E70B2"/>
    <w:rsid w:val="002F1E15"/>
    <w:rsid w:val="0030793C"/>
    <w:rsid w:val="00311700"/>
    <w:rsid w:val="00313D16"/>
    <w:rsid w:val="00313FCF"/>
    <w:rsid w:val="00322BA3"/>
    <w:rsid w:val="0032432B"/>
    <w:rsid w:val="00326BE6"/>
    <w:rsid w:val="00327078"/>
    <w:rsid w:val="003322CF"/>
    <w:rsid w:val="00333B18"/>
    <w:rsid w:val="00343535"/>
    <w:rsid w:val="0034397E"/>
    <w:rsid w:val="003451FD"/>
    <w:rsid w:val="00347605"/>
    <w:rsid w:val="0034775D"/>
    <w:rsid w:val="00356479"/>
    <w:rsid w:val="00356DAB"/>
    <w:rsid w:val="00360389"/>
    <w:rsid w:val="00363750"/>
    <w:rsid w:val="00371732"/>
    <w:rsid w:val="00371E62"/>
    <w:rsid w:val="003736DF"/>
    <w:rsid w:val="0037540C"/>
    <w:rsid w:val="00380F95"/>
    <w:rsid w:val="003817E2"/>
    <w:rsid w:val="003A01E5"/>
    <w:rsid w:val="003A454C"/>
    <w:rsid w:val="003A607F"/>
    <w:rsid w:val="003A703A"/>
    <w:rsid w:val="003B001B"/>
    <w:rsid w:val="003B1964"/>
    <w:rsid w:val="003B7156"/>
    <w:rsid w:val="003C53B3"/>
    <w:rsid w:val="003C72A9"/>
    <w:rsid w:val="003D1C53"/>
    <w:rsid w:val="003D4022"/>
    <w:rsid w:val="003D404D"/>
    <w:rsid w:val="003D58F2"/>
    <w:rsid w:val="003D6C4D"/>
    <w:rsid w:val="003D7A73"/>
    <w:rsid w:val="003E1CDD"/>
    <w:rsid w:val="003F154B"/>
    <w:rsid w:val="003F285A"/>
    <w:rsid w:val="003F3D07"/>
    <w:rsid w:val="003F5AF6"/>
    <w:rsid w:val="00401D63"/>
    <w:rsid w:val="00402A32"/>
    <w:rsid w:val="004220EA"/>
    <w:rsid w:val="0042220E"/>
    <w:rsid w:val="00431155"/>
    <w:rsid w:val="004318A0"/>
    <w:rsid w:val="00437E64"/>
    <w:rsid w:val="004418C5"/>
    <w:rsid w:val="00444218"/>
    <w:rsid w:val="004520E8"/>
    <w:rsid w:val="00460C69"/>
    <w:rsid w:val="00461DE3"/>
    <w:rsid w:val="00464BC5"/>
    <w:rsid w:val="0047284D"/>
    <w:rsid w:val="00474A35"/>
    <w:rsid w:val="0048186B"/>
    <w:rsid w:val="00483404"/>
    <w:rsid w:val="0048448E"/>
    <w:rsid w:val="00491E6A"/>
    <w:rsid w:val="00492547"/>
    <w:rsid w:val="00492A00"/>
    <w:rsid w:val="004A021B"/>
    <w:rsid w:val="004A4491"/>
    <w:rsid w:val="004B1DD0"/>
    <w:rsid w:val="004B436D"/>
    <w:rsid w:val="004B63B1"/>
    <w:rsid w:val="004C662A"/>
    <w:rsid w:val="004D421E"/>
    <w:rsid w:val="004D49CB"/>
    <w:rsid w:val="004E20CB"/>
    <w:rsid w:val="004E294B"/>
    <w:rsid w:val="004E2C83"/>
    <w:rsid w:val="004E55AA"/>
    <w:rsid w:val="004F0D41"/>
    <w:rsid w:val="004F347E"/>
    <w:rsid w:val="004F6548"/>
    <w:rsid w:val="00500016"/>
    <w:rsid w:val="005036E8"/>
    <w:rsid w:val="00511355"/>
    <w:rsid w:val="00524BC3"/>
    <w:rsid w:val="0052794E"/>
    <w:rsid w:val="00531049"/>
    <w:rsid w:val="005312AA"/>
    <w:rsid w:val="0053695F"/>
    <w:rsid w:val="00537E99"/>
    <w:rsid w:val="00542DEA"/>
    <w:rsid w:val="005512E6"/>
    <w:rsid w:val="00553F6B"/>
    <w:rsid w:val="00562271"/>
    <w:rsid w:val="00564A01"/>
    <w:rsid w:val="005656C2"/>
    <w:rsid w:val="005717E2"/>
    <w:rsid w:val="00571D26"/>
    <w:rsid w:val="005738CF"/>
    <w:rsid w:val="0057526D"/>
    <w:rsid w:val="00576A28"/>
    <w:rsid w:val="00580234"/>
    <w:rsid w:val="005807A3"/>
    <w:rsid w:val="00581DEF"/>
    <w:rsid w:val="00582431"/>
    <w:rsid w:val="00583B59"/>
    <w:rsid w:val="00584039"/>
    <w:rsid w:val="0058637F"/>
    <w:rsid w:val="00594FB1"/>
    <w:rsid w:val="00597357"/>
    <w:rsid w:val="005A444A"/>
    <w:rsid w:val="005A4B5C"/>
    <w:rsid w:val="005B102D"/>
    <w:rsid w:val="005B2E50"/>
    <w:rsid w:val="005C3B4E"/>
    <w:rsid w:val="005D580D"/>
    <w:rsid w:val="005E441C"/>
    <w:rsid w:val="005E442A"/>
    <w:rsid w:val="005E6E88"/>
    <w:rsid w:val="005F0366"/>
    <w:rsid w:val="005F087D"/>
    <w:rsid w:val="005F08F1"/>
    <w:rsid w:val="0060260F"/>
    <w:rsid w:val="0060738A"/>
    <w:rsid w:val="00612B53"/>
    <w:rsid w:val="00625A90"/>
    <w:rsid w:val="006378ED"/>
    <w:rsid w:val="00645317"/>
    <w:rsid w:val="006505F3"/>
    <w:rsid w:val="00650DCF"/>
    <w:rsid w:val="006518F6"/>
    <w:rsid w:val="00653B79"/>
    <w:rsid w:val="006570E0"/>
    <w:rsid w:val="00661F99"/>
    <w:rsid w:val="00662BF5"/>
    <w:rsid w:val="00663C5A"/>
    <w:rsid w:val="006730BD"/>
    <w:rsid w:val="00673120"/>
    <w:rsid w:val="006739FA"/>
    <w:rsid w:val="00675DDE"/>
    <w:rsid w:val="00685C21"/>
    <w:rsid w:val="0069237E"/>
    <w:rsid w:val="0069269B"/>
    <w:rsid w:val="00695F21"/>
    <w:rsid w:val="006967AB"/>
    <w:rsid w:val="006973AE"/>
    <w:rsid w:val="006A1B12"/>
    <w:rsid w:val="006A50CA"/>
    <w:rsid w:val="006A5397"/>
    <w:rsid w:val="006A5DEA"/>
    <w:rsid w:val="006A67DE"/>
    <w:rsid w:val="006B150C"/>
    <w:rsid w:val="006B4538"/>
    <w:rsid w:val="006B70BD"/>
    <w:rsid w:val="006D6894"/>
    <w:rsid w:val="006D74F7"/>
    <w:rsid w:val="006E28A9"/>
    <w:rsid w:val="006E2C56"/>
    <w:rsid w:val="006E415A"/>
    <w:rsid w:val="006E5E5F"/>
    <w:rsid w:val="006E7A3F"/>
    <w:rsid w:val="006F058B"/>
    <w:rsid w:val="006F39C2"/>
    <w:rsid w:val="006F5435"/>
    <w:rsid w:val="006F5560"/>
    <w:rsid w:val="006F6453"/>
    <w:rsid w:val="00700F5E"/>
    <w:rsid w:val="00702274"/>
    <w:rsid w:val="00704924"/>
    <w:rsid w:val="007050F5"/>
    <w:rsid w:val="00706941"/>
    <w:rsid w:val="007108B4"/>
    <w:rsid w:val="00712644"/>
    <w:rsid w:val="0071368D"/>
    <w:rsid w:val="0071374C"/>
    <w:rsid w:val="00717C6F"/>
    <w:rsid w:val="0072739B"/>
    <w:rsid w:val="00733525"/>
    <w:rsid w:val="00734A7C"/>
    <w:rsid w:val="0074295B"/>
    <w:rsid w:val="00742C47"/>
    <w:rsid w:val="00747AFD"/>
    <w:rsid w:val="00753818"/>
    <w:rsid w:val="00755077"/>
    <w:rsid w:val="007648F5"/>
    <w:rsid w:val="00770D86"/>
    <w:rsid w:val="00771C56"/>
    <w:rsid w:val="00772896"/>
    <w:rsid w:val="00774011"/>
    <w:rsid w:val="00777A2B"/>
    <w:rsid w:val="0078008D"/>
    <w:rsid w:val="00780FF9"/>
    <w:rsid w:val="00783235"/>
    <w:rsid w:val="00791CDF"/>
    <w:rsid w:val="00795563"/>
    <w:rsid w:val="0079751F"/>
    <w:rsid w:val="007A51AE"/>
    <w:rsid w:val="007A67B8"/>
    <w:rsid w:val="007B4229"/>
    <w:rsid w:val="007C0A40"/>
    <w:rsid w:val="007C6F72"/>
    <w:rsid w:val="007D13C6"/>
    <w:rsid w:val="007D78E8"/>
    <w:rsid w:val="007E0F59"/>
    <w:rsid w:val="007E2079"/>
    <w:rsid w:val="007E3EC0"/>
    <w:rsid w:val="007E56E4"/>
    <w:rsid w:val="007E59E7"/>
    <w:rsid w:val="007E5ED0"/>
    <w:rsid w:val="007E7CAF"/>
    <w:rsid w:val="007F166E"/>
    <w:rsid w:val="007F3AF5"/>
    <w:rsid w:val="007F562F"/>
    <w:rsid w:val="007F67A8"/>
    <w:rsid w:val="00800D8E"/>
    <w:rsid w:val="0080235D"/>
    <w:rsid w:val="00812C19"/>
    <w:rsid w:val="00813B92"/>
    <w:rsid w:val="008165F5"/>
    <w:rsid w:val="008234C9"/>
    <w:rsid w:val="00824EAC"/>
    <w:rsid w:val="00835DFD"/>
    <w:rsid w:val="00837FC8"/>
    <w:rsid w:val="008448E6"/>
    <w:rsid w:val="0084503C"/>
    <w:rsid w:val="008450E8"/>
    <w:rsid w:val="00861F17"/>
    <w:rsid w:val="00862A26"/>
    <w:rsid w:val="00865C43"/>
    <w:rsid w:val="008706F5"/>
    <w:rsid w:val="0087387F"/>
    <w:rsid w:val="00873BA1"/>
    <w:rsid w:val="00883C05"/>
    <w:rsid w:val="0089311E"/>
    <w:rsid w:val="00895558"/>
    <w:rsid w:val="00897C22"/>
    <w:rsid w:val="008A5897"/>
    <w:rsid w:val="008B7934"/>
    <w:rsid w:val="008D2A62"/>
    <w:rsid w:val="008D35E2"/>
    <w:rsid w:val="008D5514"/>
    <w:rsid w:val="008D5866"/>
    <w:rsid w:val="008E2484"/>
    <w:rsid w:val="008E3744"/>
    <w:rsid w:val="008E665A"/>
    <w:rsid w:val="008E79D4"/>
    <w:rsid w:val="008E7DBD"/>
    <w:rsid w:val="008F251C"/>
    <w:rsid w:val="008F44E2"/>
    <w:rsid w:val="008F4573"/>
    <w:rsid w:val="008F5FDA"/>
    <w:rsid w:val="00902F1A"/>
    <w:rsid w:val="009034EF"/>
    <w:rsid w:val="0090385A"/>
    <w:rsid w:val="00911062"/>
    <w:rsid w:val="00913CF0"/>
    <w:rsid w:val="00920D45"/>
    <w:rsid w:val="0092514C"/>
    <w:rsid w:val="00925959"/>
    <w:rsid w:val="00926B82"/>
    <w:rsid w:val="00927456"/>
    <w:rsid w:val="00932BA4"/>
    <w:rsid w:val="009330AC"/>
    <w:rsid w:val="00935320"/>
    <w:rsid w:val="00935EBC"/>
    <w:rsid w:val="00937C62"/>
    <w:rsid w:val="00940891"/>
    <w:rsid w:val="009563A1"/>
    <w:rsid w:val="00963452"/>
    <w:rsid w:val="00965F06"/>
    <w:rsid w:val="009703EA"/>
    <w:rsid w:val="009710A7"/>
    <w:rsid w:val="00971B5A"/>
    <w:rsid w:val="00972F57"/>
    <w:rsid w:val="00975C2C"/>
    <w:rsid w:val="00976A9D"/>
    <w:rsid w:val="009847F2"/>
    <w:rsid w:val="009879C1"/>
    <w:rsid w:val="00992142"/>
    <w:rsid w:val="00993045"/>
    <w:rsid w:val="009934F5"/>
    <w:rsid w:val="00994B6F"/>
    <w:rsid w:val="009A0DC6"/>
    <w:rsid w:val="009A1F30"/>
    <w:rsid w:val="009A55B5"/>
    <w:rsid w:val="009C37A0"/>
    <w:rsid w:val="009C4885"/>
    <w:rsid w:val="009D2BB7"/>
    <w:rsid w:val="009D431E"/>
    <w:rsid w:val="009E3A43"/>
    <w:rsid w:val="009E65F8"/>
    <w:rsid w:val="009E7B24"/>
    <w:rsid w:val="009F413B"/>
    <w:rsid w:val="00A00DF1"/>
    <w:rsid w:val="00A10153"/>
    <w:rsid w:val="00A177B2"/>
    <w:rsid w:val="00A21E22"/>
    <w:rsid w:val="00A23C48"/>
    <w:rsid w:val="00A26546"/>
    <w:rsid w:val="00A27AEB"/>
    <w:rsid w:val="00A32E42"/>
    <w:rsid w:val="00A378B2"/>
    <w:rsid w:val="00A442F4"/>
    <w:rsid w:val="00A45C7B"/>
    <w:rsid w:val="00A53657"/>
    <w:rsid w:val="00A651A8"/>
    <w:rsid w:val="00A65632"/>
    <w:rsid w:val="00A710CA"/>
    <w:rsid w:val="00A73238"/>
    <w:rsid w:val="00A741E5"/>
    <w:rsid w:val="00A751BD"/>
    <w:rsid w:val="00A754B1"/>
    <w:rsid w:val="00A8298B"/>
    <w:rsid w:val="00A851AE"/>
    <w:rsid w:val="00A878CB"/>
    <w:rsid w:val="00A87EF6"/>
    <w:rsid w:val="00A91A13"/>
    <w:rsid w:val="00A9255B"/>
    <w:rsid w:val="00A94F6D"/>
    <w:rsid w:val="00A9628F"/>
    <w:rsid w:val="00AA0DD5"/>
    <w:rsid w:val="00AA1E3D"/>
    <w:rsid w:val="00AA2933"/>
    <w:rsid w:val="00AA696A"/>
    <w:rsid w:val="00AB2FF7"/>
    <w:rsid w:val="00AB4255"/>
    <w:rsid w:val="00AB4A98"/>
    <w:rsid w:val="00AB73CA"/>
    <w:rsid w:val="00AC2A31"/>
    <w:rsid w:val="00AC5B85"/>
    <w:rsid w:val="00AC64ED"/>
    <w:rsid w:val="00AC780B"/>
    <w:rsid w:val="00AD22A9"/>
    <w:rsid w:val="00AD32C2"/>
    <w:rsid w:val="00AD3541"/>
    <w:rsid w:val="00AE1194"/>
    <w:rsid w:val="00AE4A26"/>
    <w:rsid w:val="00AF7206"/>
    <w:rsid w:val="00AF7690"/>
    <w:rsid w:val="00B01F92"/>
    <w:rsid w:val="00B02B0A"/>
    <w:rsid w:val="00B032B7"/>
    <w:rsid w:val="00B07D7A"/>
    <w:rsid w:val="00B10150"/>
    <w:rsid w:val="00B127AC"/>
    <w:rsid w:val="00B12830"/>
    <w:rsid w:val="00B1605D"/>
    <w:rsid w:val="00B2780D"/>
    <w:rsid w:val="00B27F13"/>
    <w:rsid w:val="00B307D0"/>
    <w:rsid w:val="00B33C38"/>
    <w:rsid w:val="00B34C3D"/>
    <w:rsid w:val="00B3538A"/>
    <w:rsid w:val="00B35B3E"/>
    <w:rsid w:val="00B35FAD"/>
    <w:rsid w:val="00B36E35"/>
    <w:rsid w:val="00B42F88"/>
    <w:rsid w:val="00B5222D"/>
    <w:rsid w:val="00B52A9F"/>
    <w:rsid w:val="00B54F9D"/>
    <w:rsid w:val="00B56532"/>
    <w:rsid w:val="00B6472E"/>
    <w:rsid w:val="00B659C8"/>
    <w:rsid w:val="00B66EEF"/>
    <w:rsid w:val="00B67890"/>
    <w:rsid w:val="00B73815"/>
    <w:rsid w:val="00B74290"/>
    <w:rsid w:val="00B758DD"/>
    <w:rsid w:val="00B7594E"/>
    <w:rsid w:val="00B809B1"/>
    <w:rsid w:val="00B829CE"/>
    <w:rsid w:val="00B837FE"/>
    <w:rsid w:val="00B8582F"/>
    <w:rsid w:val="00B9286A"/>
    <w:rsid w:val="00B935AE"/>
    <w:rsid w:val="00B95B7E"/>
    <w:rsid w:val="00B97819"/>
    <w:rsid w:val="00BA2111"/>
    <w:rsid w:val="00BB07CB"/>
    <w:rsid w:val="00BD0F2C"/>
    <w:rsid w:val="00BE5B70"/>
    <w:rsid w:val="00BE66A0"/>
    <w:rsid w:val="00BE671A"/>
    <w:rsid w:val="00BE67F7"/>
    <w:rsid w:val="00BE6C1A"/>
    <w:rsid w:val="00BF7349"/>
    <w:rsid w:val="00C014DB"/>
    <w:rsid w:val="00C01C89"/>
    <w:rsid w:val="00C11C9A"/>
    <w:rsid w:val="00C16265"/>
    <w:rsid w:val="00C2055C"/>
    <w:rsid w:val="00C2075B"/>
    <w:rsid w:val="00C25B3C"/>
    <w:rsid w:val="00C26A3E"/>
    <w:rsid w:val="00C2771C"/>
    <w:rsid w:val="00C27B92"/>
    <w:rsid w:val="00C27E78"/>
    <w:rsid w:val="00C30907"/>
    <w:rsid w:val="00C3163C"/>
    <w:rsid w:val="00C32F8F"/>
    <w:rsid w:val="00C35A63"/>
    <w:rsid w:val="00C3782F"/>
    <w:rsid w:val="00C5279A"/>
    <w:rsid w:val="00C62387"/>
    <w:rsid w:val="00C645A5"/>
    <w:rsid w:val="00C70ACA"/>
    <w:rsid w:val="00C7240E"/>
    <w:rsid w:val="00C87FF9"/>
    <w:rsid w:val="00C902B2"/>
    <w:rsid w:val="00C9126E"/>
    <w:rsid w:val="00C93C4C"/>
    <w:rsid w:val="00C94956"/>
    <w:rsid w:val="00C97C65"/>
    <w:rsid w:val="00CA1A05"/>
    <w:rsid w:val="00CA6586"/>
    <w:rsid w:val="00CA6878"/>
    <w:rsid w:val="00CB67DE"/>
    <w:rsid w:val="00CB6992"/>
    <w:rsid w:val="00CD1FCB"/>
    <w:rsid w:val="00CD2111"/>
    <w:rsid w:val="00CD42FC"/>
    <w:rsid w:val="00CD6C3B"/>
    <w:rsid w:val="00CE0CAE"/>
    <w:rsid w:val="00CE0D1E"/>
    <w:rsid w:val="00CE1885"/>
    <w:rsid w:val="00CE25B7"/>
    <w:rsid w:val="00CE287E"/>
    <w:rsid w:val="00D0115F"/>
    <w:rsid w:val="00D03293"/>
    <w:rsid w:val="00D07A1A"/>
    <w:rsid w:val="00D1142B"/>
    <w:rsid w:val="00D14956"/>
    <w:rsid w:val="00D217F7"/>
    <w:rsid w:val="00D347D2"/>
    <w:rsid w:val="00D351CA"/>
    <w:rsid w:val="00D35B87"/>
    <w:rsid w:val="00D4412D"/>
    <w:rsid w:val="00D4533C"/>
    <w:rsid w:val="00D45935"/>
    <w:rsid w:val="00D46A79"/>
    <w:rsid w:val="00D5406D"/>
    <w:rsid w:val="00D54E54"/>
    <w:rsid w:val="00D55D7B"/>
    <w:rsid w:val="00D63A7C"/>
    <w:rsid w:val="00D67E25"/>
    <w:rsid w:val="00D70BBF"/>
    <w:rsid w:val="00D73860"/>
    <w:rsid w:val="00D76EC9"/>
    <w:rsid w:val="00D80905"/>
    <w:rsid w:val="00D80EBC"/>
    <w:rsid w:val="00D85201"/>
    <w:rsid w:val="00D87D52"/>
    <w:rsid w:val="00D9702F"/>
    <w:rsid w:val="00DA361C"/>
    <w:rsid w:val="00DB0E37"/>
    <w:rsid w:val="00DB3C94"/>
    <w:rsid w:val="00DB49A4"/>
    <w:rsid w:val="00DB6F64"/>
    <w:rsid w:val="00DC29EB"/>
    <w:rsid w:val="00DC2BE2"/>
    <w:rsid w:val="00DC3224"/>
    <w:rsid w:val="00DC3B57"/>
    <w:rsid w:val="00DD0495"/>
    <w:rsid w:val="00DD09A5"/>
    <w:rsid w:val="00DD0B88"/>
    <w:rsid w:val="00DD5466"/>
    <w:rsid w:val="00DD5626"/>
    <w:rsid w:val="00DE11D4"/>
    <w:rsid w:val="00DE1E30"/>
    <w:rsid w:val="00DE6A50"/>
    <w:rsid w:val="00DE6D65"/>
    <w:rsid w:val="00DE7AA0"/>
    <w:rsid w:val="00E031FB"/>
    <w:rsid w:val="00E046F3"/>
    <w:rsid w:val="00E10CB4"/>
    <w:rsid w:val="00E16172"/>
    <w:rsid w:val="00E16F10"/>
    <w:rsid w:val="00E31921"/>
    <w:rsid w:val="00E3313B"/>
    <w:rsid w:val="00E334DF"/>
    <w:rsid w:val="00E41405"/>
    <w:rsid w:val="00E41DF7"/>
    <w:rsid w:val="00E440FC"/>
    <w:rsid w:val="00E51D6C"/>
    <w:rsid w:val="00E54A03"/>
    <w:rsid w:val="00E57912"/>
    <w:rsid w:val="00E614FA"/>
    <w:rsid w:val="00E62961"/>
    <w:rsid w:val="00E62993"/>
    <w:rsid w:val="00E6589F"/>
    <w:rsid w:val="00E725CF"/>
    <w:rsid w:val="00E750B3"/>
    <w:rsid w:val="00E7518A"/>
    <w:rsid w:val="00E765ED"/>
    <w:rsid w:val="00E769CA"/>
    <w:rsid w:val="00E812E1"/>
    <w:rsid w:val="00E92F38"/>
    <w:rsid w:val="00E9482C"/>
    <w:rsid w:val="00E95C70"/>
    <w:rsid w:val="00EA16DF"/>
    <w:rsid w:val="00EB4B2A"/>
    <w:rsid w:val="00EC015D"/>
    <w:rsid w:val="00EC154C"/>
    <w:rsid w:val="00EC424D"/>
    <w:rsid w:val="00EE0DBC"/>
    <w:rsid w:val="00EE6D2B"/>
    <w:rsid w:val="00EF4E76"/>
    <w:rsid w:val="00EF50E5"/>
    <w:rsid w:val="00EF6F1E"/>
    <w:rsid w:val="00EF741D"/>
    <w:rsid w:val="00F0118D"/>
    <w:rsid w:val="00F0198B"/>
    <w:rsid w:val="00F06801"/>
    <w:rsid w:val="00F06D3E"/>
    <w:rsid w:val="00F14CD1"/>
    <w:rsid w:val="00F15124"/>
    <w:rsid w:val="00F1573E"/>
    <w:rsid w:val="00F22450"/>
    <w:rsid w:val="00F24C37"/>
    <w:rsid w:val="00F3105C"/>
    <w:rsid w:val="00F328C7"/>
    <w:rsid w:val="00F354E6"/>
    <w:rsid w:val="00F3556B"/>
    <w:rsid w:val="00F35A64"/>
    <w:rsid w:val="00F35DAD"/>
    <w:rsid w:val="00F36417"/>
    <w:rsid w:val="00F401FD"/>
    <w:rsid w:val="00F4127B"/>
    <w:rsid w:val="00F4201A"/>
    <w:rsid w:val="00F42ED7"/>
    <w:rsid w:val="00F50911"/>
    <w:rsid w:val="00F50C33"/>
    <w:rsid w:val="00F63AF9"/>
    <w:rsid w:val="00F66364"/>
    <w:rsid w:val="00F72111"/>
    <w:rsid w:val="00F74575"/>
    <w:rsid w:val="00F777E4"/>
    <w:rsid w:val="00F825A3"/>
    <w:rsid w:val="00F826CD"/>
    <w:rsid w:val="00FA6BAC"/>
    <w:rsid w:val="00FB3BAA"/>
    <w:rsid w:val="00FB67B5"/>
    <w:rsid w:val="00FC2F13"/>
    <w:rsid w:val="00FD02C7"/>
    <w:rsid w:val="00FD0E7E"/>
    <w:rsid w:val="00FD13AA"/>
    <w:rsid w:val="00FD15BB"/>
    <w:rsid w:val="00FD1708"/>
    <w:rsid w:val="00FD2D13"/>
    <w:rsid w:val="00FD3A1A"/>
    <w:rsid w:val="00FD52B0"/>
    <w:rsid w:val="00FE3B42"/>
    <w:rsid w:val="00FF1F9F"/>
    <w:rsid w:val="00FF1FB9"/>
    <w:rsid w:val="00FF3BF9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7D3"/>
    <w:pPr>
      <w:overflowPunct w:val="0"/>
      <w:autoSpaceDE w:val="0"/>
      <w:autoSpaceDN w:val="0"/>
      <w:adjustRightInd w:val="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next w:val="Normal"/>
    <w:link w:val="Heading1Char1"/>
    <w:qFormat/>
    <w:rsid w:val="00B33C38"/>
    <w:pPr>
      <w:keepNext/>
      <w:keepLines/>
      <w:numPr>
        <w:numId w:val="4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autoRedefine/>
    <w:unhideWhenUsed/>
    <w:qFormat/>
    <w:rsid w:val="00576A28"/>
    <w:pPr>
      <w:numPr>
        <w:ilvl w:val="1"/>
      </w:numPr>
      <w:pBdr>
        <w:top w:val="none" w:sz="0" w:space="0" w:color="auto"/>
      </w:pBdr>
      <w:spacing w:before="40"/>
      <w:jc w:val="left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</w:numPr>
      <w:spacing w:before="300" w:after="120"/>
      <w:outlineLvl w:val="2"/>
    </w:pPr>
    <w:rPr>
      <w:rFonts w:ascii="Times New Roman" w:eastAsia="Malgun Gothic" w:hAnsi="Times New Roman" w:cs="Times New Roman"/>
      <w:sz w:val="22"/>
      <w:szCs w:val="24"/>
      <w:lang w:val="en-US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6A28"/>
    <w:pPr>
      <w:keepNext/>
      <w:keepLines/>
      <w:numPr>
        <w:ilvl w:val="3"/>
        <w:numId w:val="4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6A28"/>
    <w:pPr>
      <w:keepNext/>
      <w:keepLines/>
      <w:numPr>
        <w:ilvl w:val="4"/>
        <w:numId w:val="4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6A28"/>
    <w:pPr>
      <w:keepNext/>
      <w:keepLines/>
      <w:numPr>
        <w:ilvl w:val="5"/>
        <w:numId w:val="4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6A28"/>
    <w:pPr>
      <w:keepNext/>
      <w:keepLines/>
      <w:numPr>
        <w:ilvl w:val="6"/>
        <w:numId w:val="4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6A28"/>
    <w:pPr>
      <w:keepNext/>
      <w:keepLines/>
      <w:numPr>
        <w:ilvl w:val="7"/>
        <w:numId w:val="4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6A28"/>
    <w:pPr>
      <w:keepNext/>
      <w:keepLines/>
      <w:numPr>
        <w:ilvl w:val="8"/>
        <w:numId w:val="4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link w:val="Heading1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511355"/>
    <w:rPr>
      <w:rFonts w:asciiTheme="majorHAnsi" w:eastAsiaTheme="majorEastAsia" w:hAnsiTheme="majorHAnsi" w:cstheme="majorBidi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7050F5"/>
    <w:pPr>
      <w:spacing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qFormat/>
    <w:rsid w:val="007050F5"/>
    <w:rPr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  <w:style w:type="character" w:customStyle="1" w:styleId="ListParagraphChar">
    <w:name w:val="List Paragraph Char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link w:val="ListParagraph"/>
    <w:uiPriority w:val="34"/>
    <w:qFormat/>
    <w:locked/>
    <w:rsid w:val="00A27AEB"/>
    <w:rPr>
      <w:rFonts w:ascii="Times" w:eastAsia="Batang" w:hAnsi="Times" w:cs="Times New Roman"/>
      <w:sz w:val="20"/>
      <w:lang w:val="en-GB"/>
    </w:rPr>
  </w:style>
  <w:style w:type="character" w:customStyle="1" w:styleId="ListParagraphChar2">
    <w:name w:val="List Paragraph Char2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uiPriority w:val="34"/>
    <w:qFormat/>
    <w:rsid w:val="00B27F13"/>
    <w:rPr>
      <w:rFonts w:ascii="Times" w:eastAsia="Batang" w:hAnsi="Times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050014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qFormat/>
    <w:rsid w:val="00E31921"/>
    <w:rPr>
      <w:color w:val="0000FF"/>
      <w:u w:val="single"/>
    </w:rPr>
  </w:style>
  <w:style w:type="paragraph" w:customStyle="1" w:styleId="References">
    <w:name w:val="References"/>
    <w:basedOn w:val="Normal"/>
    <w:rsid w:val="00231A1E"/>
    <w:pPr>
      <w:numPr>
        <w:numId w:val="30"/>
      </w:numPr>
      <w:overflowPunct/>
      <w:adjustRightInd/>
      <w:snapToGrid w:val="0"/>
      <w:spacing w:after="60"/>
      <w:jc w:val="both"/>
      <w:textAlignment w:val="auto"/>
    </w:pPr>
    <w:rPr>
      <w:rFonts w:ascii="Times New Roman" w:eastAsia="SimSun" w:hAnsi="Times New Roman"/>
      <w:szCs w:val="16"/>
      <w:lang w:val="en-US"/>
    </w:rPr>
  </w:style>
  <w:style w:type="paragraph" w:styleId="Bibliography">
    <w:name w:val="Bibliography"/>
    <w:basedOn w:val="Normal"/>
    <w:next w:val="Normal"/>
    <w:uiPriority w:val="37"/>
    <w:unhideWhenUsed/>
    <w:rsid w:val="00347605"/>
  </w:style>
  <w:style w:type="paragraph" w:styleId="FootnoteText">
    <w:name w:val="footnote text"/>
    <w:basedOn w:val="Normal"/>
    <w:link w:val="FootnoteTextChar"/>
    <w:uiPriority w:val="99"/>
    <w:semiHidden/>
    <w:unhideWhenUsed/>
    <w:rsid w:val="00F3556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556B"/>
    <w:rPr>
      <w:rFonts w:ascii="Times" w:eastAsia="Batang" w:hAnsi="Times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3556B"/>
    <w:rPr>
      <w:vertAlign w:val="superscript"/>
    </w:rPr>
  </w:style>
  <w:style w:type="paragraph" w:customStyle="1" w:styleId="DECISION">
    <w:name w:val="DECISION"/>
    <w:basedOn w:val="Normal"/>
    <w:rsid w:val="00DE1E30"/>
    <w:pPr>
      <w:widowControl w:val="0"/>
      <w:numPr>
        <w:numId w:val="40"/>
      </w:numPr>
      <w:spacing w:before="120" w:after="120"/>
      <w:jc w:val="both"/>
    </w:pPr>
    <w:rPr>
      <w:rFonts w:ascii="Arial" w:eastAsiaTheme="minorEastAsia" w:hAnsi="Arial"/>
      <w:b/>
      <w:color w:val="0000FF"/>
      <w:szCs w:val="20"/>
      <w:u w:val="single"/>
    </w:rPr>
  </w:style>
  <w:style w:type="numbering" w:customStyle="1" w:styleId="CurrentList1">
    <w:name w:val="Current List1"/>
    <w:uiPriority w:val="99"/>
    <w:rsid w:val="00511355"/>
    <w:pPr>
      <w:numPr>
        <w:numId w:val="44"/>
      </w:numPr>
    </w:pPr>
  </w:style>
  <w:style w:type="numbering" w:customStyle="1" w:styleId="CurrentList2">
    <w:name w:val="Current List2"/>
    <w:uiPriority w:val="99"/>
    <w:rsid w:val="00576A28"/>
    <w:pPr>
      <w:numPr>
        <w:numId w:val="46"/>
      </w:numPr>
    </w:pPr>
  </w:style>
  <w:style w:type="numbering" w:customStyle="1" w:styleId="CurrentList3">
    <w:name w:val="Current List3"/>
    <w:uiPriority w:val="99"/>
    <w:rsid w:val="00576A28"/>
    <w:pPr>
      <w:numPr>
        <w:numId w:val="47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76A28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6A28"/>
    <w:rPr>
      <w:rFonts w:asciiTheme="majorHAnsi" w:eastAsiaTheme="majorEastAsia" w:hAnsiTheme="majorHAnsi" w:cstheme="majorBidi"/>
      <w:color w:val="2F5496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6A28"/>
    <w:rPr>
      <w:rFonts w:asciiTheme="majorHAnsi" w:eastAsiaTheme="majorEastAsia" w:hAnsiTheme="majorHAnsi" w:cstheme="majorBidi"/>
      <w:color w:val="1F3763" w:themeColor="accent1" w:themeShade="7F"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6A28"/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6A2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6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E16172"/>
    <w:rPr>
      <w:color w:val="666666"/>
    </w:rPr>
  </w:style>
  <w:style w:type="paragraph" w:customStyle="1" w:styleId="3GPPHeader">
    <w:name w:val="3GPP_Header"/>
    <w:basedOn w:val="BodyText"/>
    <w:locked/>
    <w:rsid w:val="002D4080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2D40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4080"/>
    <w:rPr>
      <w:rFonts w:ascii="Times" w:eastAsia="Batang" w:hAnsi="Times" w:cs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9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0DE6FE-61F6-0D41-A7AB-559753B5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Yuda Luz</cp:lastModifiedBy>
  <cp:revision>2</cp:revision>
  <dcterms:created xsi:type="dcterms:W3CDTF">2025-03-28T15:13:00Z</dcterms:created>
  <dcterms:modified xsi:type="dcterms:W3CDTF">2025-03-28T15:13:00Z</dcterms:modified>
</cp:coreProperties>
</file>